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638"/>
      </w:tblGrid>
      <w:tr w:rsidR="00193FEE" w:rsidRPr="00193FEE" w14:paraId="1F220F97" w14:textId="77777777" w:rsidTr="000E1501">
        <w:trPr>
          <w:trHeight w:val="1440"/>
          <w:jc w:val="center"/>
        </w:trPr>
        <w:tc>
          <w:tcPr>
            <w:tcW w:w="5000" w:type="pct"/>
            <w:tcBorders>
              <w:bottom w:val="single" w:sz="4" w:space="0" w:color="4472C4"/>
            </w:tcBorders>
            <w:vAlign w:val="center"/>
          </w:tcPr>
          <w:p w14:paraId="3880CA1A" w14:textId="2717367C" w:rsidR="00193FEE" w:rsidRPr="001A1743" w:rsidRDefault="00193FEE" w:rsidP="00193FEE">
            <w:pPr>
              <w:widowControl w:val="0"/>
              <w:overflowPunct w:val="0"/>
              <w:autoSpaceDE w:val="0"/>
              <w:autoSpaceDN w:val="0"/>
              <w:adjustRightInd w:val="0"/>
              <w:spacing w:before="0" w:after="0"/>
              <w:ind w:left="0" w:firstLine="0"/>
              <w:jc w:val="center"/>
              <w:textAlignment w:val="baseline"/>
              <w:rPr>
                <w:rFonts w:asciiTheme="majorHAnsi" w:hAnsiTheme="majorHAnsi" w:cstheme="majorHAnsi"/>
                <w:sz w:val="36"/>
                <w:szCs w:val="36"/>
                <w:lang w:val="sv-FI"/>
              </w:rPr>
            </w:pPr>
            <w:bookmarkStart w:id="0" w:name="_Hlk23317416"/>
            <w:r>
              <w:rPr>
                <w:rFonts w:asciiTheme="majorHAnsi" w:hAnsiTheme="majorHAnsi" w:cstheme="majorHAnsi"/>
                <w:sz w:val="36"/>
                <w:szCs w:val="36"/>
                <w:lang w:val="sv"/>
              </w:rPr>
              <w:t>Rekommenderade av Finsk Energiindustri rf</w:t>
            </w:r>
          </w:p>
          <w:bookmarkEnd w:id="0"/>
          <w:p w14:paraId="46917B9E" w14:textId="267970A0" w:rsidR="00193FEE" w:rsidRPr="001A1743" w:rsidRDefault="00193FEE" w:rsidP="00193FEE">
            <w:pPr>
              <w:ind w:left="1134"/>
              <w:jc w:val="center"/>
              <w:rPr>
                <w:rFonts w:asciiTheme="majorHAnsi" w:hAnsiTheme="majorHAnsi" w:cs="Calibri"/>
                <w:b/>
                <w:bCs/>
                <w:sz w:val="36"/>
                <w:szCs w:val="36"/>
                <w:lang w:val="sv-FI"/>
              </w:rPr>
            </w:pPr>
            <w:r>
              <w:rPr>
                <w:rFonts w:asciiTheme="majorHAnsi" w:hAnsiTheme="majorHAnsi" w:cs="Calibri"/>
                <w:b/>
                <w:bCs/>
                <w:sz w:val="36"/>
                <w:szCs w:val="36"/>
                <w:lang w:val="sv"/>
              </w:rPr>
              <w:t>Allmänna detaljförsäljningsvillkor för gas</w:t>
            </w:r>
          </w:p>
          <w:p w14:paraId="12609ADF" w14:textId="21C5E923" w:rsidR="00193FEE" w:rsidRPr="00193FEE" w:rsidRDefault="00193FEE" w:rsidP="00193FEE">
            <w:pPr>
              <w:widowControl w:val="0"/>
              <w:overflowPunct w:val="0"/>
              <w:autoSpaceDE w:val="0"/>
              <w:autoSpaceDN w:val="0"/>
              <w:adjustRightInd w:val="0"/>
              <w:spacing w:before="0" w:after="0"/>
              <w:ind w:left="0" w:firstLine="0"/>
              <w:jc w:val="center"/>
              <w:textAlignment w:val="baseline"/>
              <w:rPr>
                <w:rFonts w:ascii="Calibri" w:hAnsi="Calibri" w:cs="Calibri"/>
                <w:b/>
                <w:bCs/>
                <w:sz w:val="36"/>
                <w:szCs w:val="36"/>
              </w:rPr>
            </w:pPr>
            <w:r>
              <w:rPr>
                <w:rFonts w:asciiTheme="majorHAnsi" w:hAnsiTheme="majorHAnsi" w:cstheme="majorHAnsi"/>
                <w:b/>
                <w:bCs/>
                <w:sz w:val="36"/>
                <w:szCs w:val="36"/>
                <w:lang w:val="sv"/>
              </w:rPr>
              <w:t>GFV 2019</w:t>
            </w:r>
          </w:p>
        </w:tc>
      </w:tr>
    </w:tbl>
    <w:p w14:paraId="63EB3731" w14:textId="77777777" w:rsidR="00AC5B40" w:rsidRPr="001A1743" w:rsidRDefault="00AC5B40" w:rsidP="00FE01D7">
      <w:pPr>
        <w:ind w:left="1134"/>
        <w:rPr>
          <w:rFonts w:ascii="Calibri" w:hAnsi="Calibri" w:cs="Calibri"/>
          <w:b/>
          <w:bCs/>
          <w:sz w:val="36"/>
          <w:szCs w:val="36"/>
          <w:lang w:val="sv-FI"/>
        </w:rPr>
      </w:pPr>
      <w:bookmarkStart w:id="1" w:name="_GoBack"/>
      <w:bookmarkEnd w:id="1"/>
    </w:p>
    <w:p w14:paraId="51B14836" w14:textId="77777777" w:rsidR="00AC5B40" w:rsidRPr="001A1743" w:rsidRDefault="00AC5B40" w:rsidP="00FE01D7">
      <w:pPr>
        <w:ind w:left="1134"/>
        <w:rPr>
          <w:rFonts w:asciiTheme="majorHAnsi" w:hAnsiTheme="majorHAnsi" w:cs="Calibri"/>
          <w:b/>
          <w:bCs/>
          <w:sz w:val="36"/>
          <w:szCs w:val="36"/>
          <w:lang w:val="sv-FI"/>
        </w:rPr>
      </w:pPr>
    </w:p>
    <w:p w14:paraId="68A55460" w14:textId="77777777" w:rsidR="00AC5B40" w:rsidRPr="001A1743" w:rsidRDefault="00AC5B40" w:rsidP="00FE01D7">
      <w:pPr>
        <w:rPr>
          <w:rFonts w:ascii="Calibri" w:hAnsi="Calibri" w:cs="Calibri"/>
          <w:bCs/>
          <w:sz w:val="22"/>
          <w:szCs w:val="22"/>
          <w:lang w:val="sv-FI"/>
        </w:rPr>
      </w:pPr>
    </w:p>
    <w:p w14:paraId="5B4246C4" w14:textId="77777777" w:rsidR="00276E1B" w:rsidRDefault="00276E1B">
      <w:pPr>
        <w:spacing w:before="0" w:after="0"/>
        <w:ind w:left="0" w:firstLine="0"/>
        <w:rPr>
          <w:rFonts w:asciiTheme="majorHAnsi" w:hAnsiTheme="majorHAnsi"/>
          <w:sz w:val="28"/>
          <w:szCs w:val="28"/>
          <w:lang w:val="sv"/>
        </w:rPr>
      </w:pPr>
    </w:p>
    <w:p w14:paraId="0EB729F8" w14:textId="77777777" w:rsidR="00276E1B" w:rsidRDefault="00276E1B">
      <w:pPr>
        <w:spacing w:before="0" w:after="0"/>
        <w:ind w:left="0" w:firstLine="0"/>
        <w:rPr>
          <w:rFonts w:asciiTheme="majorHAnsi" w:hAnsiTheme="majorHAnsi"/>
          <w:sz w:val="28"/>
          <w:szCs w:val="28"/>
          <w:lang w:val="sv"/>
        </w:rPr>
      </w:pPr>
    </w:p>
    <w:p w14:paraId="43D6ED8B" w14:textId="77777777" w:rsidR="00276E1B" w:rsidRDefault="00276E1B">
      <w:pPr>
        <w:spacing w:before="0" w:after="0"/>
        <w:ind w:left="0" w:firstLine="0"/>
        <w:rPr>
          <w:rFonts w:asciiTheme="majorHAnsi" w:hAnsiTheme="majorHAnsi"/>
          <w:sz w:val="28"/>
          <w:szCs w:val="28"/>
          <w:lang w:val="sv"/>
        </w:rPr>
      </w:pPr>
    </w:p>
    <w:p w14:paraId="3A759952" w14:textId="77777777" w:rsidR="00276E1B" w:rsidRDefault="00276E1B">
      <w:pPr>
        <w:spacing w:before="0" w:after="0"/>
        <w:ind w:left="0" w:firstLine="0"/>
        <w:rPr>
          <w:rFonts w:asciiTheme="majorHAnsi" w:hAnsiTheme="majorHAnsi"/>
          <w:sz w:val="28"/>
          <w:szCs w:val="28"/>
          <w:lang w:val="sv"/>
        </w:rPr>
      </w:pPr>
    </w:p>
    <w:p w14:paraId="0AF14AA0" w14:textId="77777777" w:rsidR="00276E1B" w:rsidRDefault="00276E1B">
      <w:pPr>
        <w:spacing w:before="0" w:after="0"/>
        <w:ind w:left="0" w:firstLine="0"/>
        <w:rPr>
          <w:rFonts w:asciiTheme="majorHAnsi" w:hAnsiTheme="majorHAnsi"/>
          <w:sz w:val="28"/>
          <w:szCs w:val="28"/>
          <w:lang w:val="sv"/>
        </w:rPr>
      </w:pPr>
    </w:p>
    <w:p w14:paraId="59F1FBD9" w14:textId="77777777" w:rsidR="00276E1B" w:rsidRDefault="00276E1B">
      <w:pPr>
        <w:spacing w:before="0" w:after="0"/>
        <w:ind w:left="0" w:firstLine="0"/>
        <w:rPr>
          <w:rFonts w:asciiTheme="majorHAnsi" w:hAnsiTheme="majorHAnsi"/>
          <w:sz w:val="28"/>
          <w:szCs w:val="28"/>
          <w:lang w:val="sv"/>
        </w:rPr>
      </w:pPr>
    </w:p>
    <w:p w14:paraId="44C2848A" w14:textId="77777777" w:rsidR="00276E1B" w:rsidRDefault="00276E1B">
      <w:pPr>
        <w:spacing w:before="0" w:after="0"/>
        <w:ind w:left="0" w:firstLine="0"/>
        <w:rPr>
          <w:rFonts w:asciiTheme="majorHAnsi" w:hAnsiTheme="majorHAnsi"/>
          <w:sz w:val="28"/>
          <w:szCs w:val="28"/>
          <w:lang w:val="sv"/>
        </w:rPr>
      </w:pPr>
    </w:p>
    <w:p w14:paraId="042D75EB" w14:textId="77777777" w:rsidR="00276E1B" w:rsidRDefault="00276E1B">
      <w:pPr>
        <w:spacing w:before="0" w:after="0"/>
        <w:ind w:left="0" w:firstLine="0"/>
        <w:rPr>
          <w:rFonts w:asciiTheme="majorHAnsi" w:hAnsiTheme="majorHAnsi"/>
          <w:sz w:val="28"/>
          <w:szCs w:val="28"/>
          <w:lang w:val="sv"/>
        </w:rPr>
      </w:pPr>
    </w:p>
    <w:p w14:paraId="3A2F77D5" w14:textId="77777777" w:rsidR="00276E1B" w:rsidRDefault="00276E1B">
      <w:pPr>
        <w:spacing w:before="0" w:after="0"/>
        <w:ind w:left="0" w:firstLine="0"/>
        <w:rPr>
          <w:rFonts w:asciiTheme="majorHAnsi" w:hAnsiTheme="majorHAnsi"/>
          <w:sz w:val="28"/>
          <w:szCs w:val="28"/>
          <w:lang w:val="sv"/>
        </w:rPr>
      </w:pPr>
    </w:p>
    <w:p w14:paraId="22433B31" w14:textId="77777777" w:rsidR="00276E1B" w:rsidRDefault="00276E1B">
      <w:pPr>
        <w:spacing w:before="0" w:after="0"/>
        <w:ind w:left="0" w:firstLine="0"/>
        <w:rPr>
          <w:rFonts w:asciiTheme="majorHAnsi" w:hAnsiTheme="majorHAnsi"/>
          <w:sz w:val="28"/>
          <w:szCs w:val="28"/>
          <w:lang w:val="sv"/>
        </w:rPr>
      </w:pPr>
    </w:p>
    <w:p w14:paraId="7AFD7494" w14:textId="77777777" w:rsidR="00276E1B" w:rsidRDefault="00276E1B">
      <w:pPr>
        <w:spacing w:before="0" w:after="0"/>
        <w:ind w:left="0" w:firstLine="0"/>
        <w:rPr>
          <w:rFonts w:asciiTheme="majorHAnsi" w:hAnsiTheme="majorHAnsi"/>
          <w:sz w:val="28"/>
          <w:szCs w:val="28"/>
          <w:lang w:val="sv"/>
        </w:rPr>
      </w:pPr>
    </w:p>
    <w:p w14:paraId="6D0BD4AA" w14:textId="77777777" w:rsidR="00276E1B" w:rsidRDefault="00276E1B">
      <w:pPr>
        <w:spacing w:before="0" w:after="0"/>
        <w:ind w:left="0" w:firstLine="0"/>
        <w:rPr>
          <w:rFonts w:asciiTheme="majorHAnsi" w:hAnsiTheme="majorHAnsi"/>
          <w:sz w:val="28"/>
          <w:szCs w:val="28"/>
          <w:lang w:val="sv"/>
        </w:rPr>
      </w:pPr>
    </w:p>
    <w:p w14:paraId="308DDF1E" w14:textId="77777777" w:rsidR="00276E1B" w:rsidRDefault="00276E1B">
      <w:pPr>
        <w:spacing w:before="0" w:after="0"/>
        <w:ind w:left="0" w:firstLine="0"/>
        <w:rPr>
          <w:rFonts w:asciiTheme="majorHAnsi" w:hAnsiTheme="majorHAnsi"/>
          <w:sz w:val="28"/>
          <w:szCs w:val="28"/>
          <w:lang w:val="sv"/>
        </w:rPr>
      </w:pPr>
    </w:p>
    <w:p w14:paraId="3FC14806" w14:textId="77777777" w:rsidR="00276E1B" w:rsidRDefault="00276E1B">
      <w:pPr>
        <w:spacing w:before="0" w:after="0"/>
        <w:ind w:left="0" w:firstLine="0"/>
        <w:rPr>
          <w:rFonts w:asciiTheme="majorHAnsi" w:hAnsiTheme="majorHAnsi"/>
          <w:sz w:val="28"/>
          <w:szCs w:val="28"/>
          <w:lang w:val="sv"/>
        </w:rPr>
      </w:pPr>
    </w:p>
    <w:p w14:paraId="73788DD9" w14:textId="77777777" w:rsidR="00276E1B" w:rsidRDefault="00276E1B">
      <w:pPr>
        <w:spacing w:before="0" w:after="0"/>
        <w:ind w:left="0" w:firstLine="0"/>
        <w:rPr>
          <w:rFonts w:asciiTheme="majorHAnsi" w:hAnsiTheme="majorHAnsi"/>
          <w:sz w:val="28"/>
          <w:szCs w:val="28"/>
          <w:lang w:val="sv"/>
        </w:rPr>
      </w:pPr>
    </w:p>
    <w:p w14:paraId="152CDE06" w14:textId="77777777" w:rsidR="00276E1B" w:rsidRDefault="00276E1B">
      <w:pPr>
        <w:spacing w:before="0" w:after="0"/>
        <w:ind w:left="0" w:firstLine="0"/>
        <w:rPr>
          <w:rFonts w:asciiTheme="majorHAnsi" w:hAnsiTheme="majorHAnsi"/>
          <w:sz w:val="28"/>
          <w:szCs w:val="28"/>
          <w:lang w:val="sv"/>
        </w:rPr>
      </w:pPr>
    </w:p>
    <w:p w14:paraId="591D3CF9" w14:textId="77777777" w:rsidR="00276E1B" w:rsidRDefault="00276E1B">
      <w:pPr>
        <w:spacing w:before="0" w:after="0"/>
        <w:ind w:left="0" w:firstLine="0"/>
        <w:rPr>
          <w:rFonts w:asciiTheme="majorHAnsi" w:hAnsiTheme="majorHAnsi"/>
          <w:sz w:val="28"/>
          <w:szCs w:val="28"/>
          <w:lang w:val="sv"/>
        </w:rPr>
      </w:pPr>
    </w:p>
    <w:p w14:paraId="42967335" w14:textId="77777777" w:rsidR="00276E1B" w:rsidRDefault="00276E1B">
      <w:pPr>
        <w:spacing w:before="0" w:after="0"/>
        <w:ind w:left="0" w:firstLine="0"/>
        <w:rPr>
          <w:rFonts w:asciiTheme="majorHAnsi" w:hAnsiTheme="majorHAnsi"/>
          <w:sz w:val="28"/>
          <w:szCs w:val="28"/>
          <w:lang w:val="sv"/>
        </w:rPr>
      </w:pPr>
    </w:p>
    <w:p w14:paraId="31C71D5F" w14:textId="77777777" w:rsidR="00276E1B" w:rsidRDefault="00276E1B">
      <w:pPr>
        <w:spacing w:before="0" w:after="0"/>
        <w:ind w:left="0" w:firstLine="0"/>
        <w:rPr>
          <w:rFonts w:asciiTheme="majorHAnsi" w:hAnsiTheme="majorHAnsi"/>
          <w:sz w:val="28"/>
          <w:szCs w:val="28"/>
          <w:lang w:val="sv"/>
        </w:rPr>
      </w:pPr>
    </w:p>
    <w:p w14:paraId="5EDDCDAF" w14:textId="77777777" w:rsidR="00276E1B" w:rsidRPr="00276E1B" w:rsidRDefault="00276E1B">
      <w:pPr>
        <w:spacing w:before="0" w:after="0"/>
        <w:ind w:left="0" w:firstLine="0"/>
        <w:rPr>
          <w:rFonts w:asciiTheme="minorHAnsi" w:hAnsiTheme="minorHAnsi" w:cstheme="minorHAnsi"/>
          <w:sz w:val="24"/>
          <w:szCs w:val="24"/>
          <w:lang w:val="sv"/>
        </w:rPr>
      </w:pPr>
      <w:r w:rsidRPr="00276E1B">
        <w:rPr>
          <w:rFonts w:asciiTheme="minorHAnsi" w:hAnsiTheme="minorHAnsi" w:cstheme="minorHAnsi"/>
          <w:sz w:val="24"/>
          <w:szCs w:val="24"/>
          <w:lang w:val="sv"/>
        </w:rPr>
        <w:t>OBS:</w:t>
      </w:r>
    </w:p>
    <w:p w14:paraId="6295974C" w14:textId="0549CF7C" w:rsidR="00CD3F85" w:rsidRPr="001A1743" w:rsidRDefault="00276E1B">
      <w:pPr>
        <w:spacing w:before="0" w:after="0"/>
        <w:ind w:left="0" w:firstLine="0"/>
        <w:rPr>
          <w:rFonts w:asciiTheme="majorHAnsi" w:hAnsiTheme="majorHAnsi"/>
          <w:sz w:val="28"/>
          <w:szCs w:val="28"/>
          <w:lang w:val="sv-FI"/>
        </w:rPr>
      </w:pPr>
      <w:r w:rsidRPr="00276E1B">
        <w:rPr>
          <w:rFonts w:asciiTheme="minorHAnsi" w:hAnsiTheme="minorHAnsi" w:cstheme="minorHAnsi"/>
          <w:sz w:val="24"/>
          <w:szCs w:val="24"/>
          <w:lang w:val="sv-SE"/>
        </w:rPr>
        <w:t>Denna svenskspråkiga version är en översättning av avtalsvillkor</w:t>
      </w:r>
      <w:r w:rsidR="00CD3F85">
        <w:rPr>
          <w:rFonts w:asciiTheme="majorHAnsi" w:hAnsiTheme="majorHAnsi"/>
          <w:sz w:val="28"/>
          <w:szCs w:val="28"/>
          <w:lang w:val="sv"/>
        </w:rPr>
        <w:br w:type="page"/>
      </w:r>
    </w:p>
    <w:p w14:paraId="0F6CEEF0" w14:textId="77777777" w:rsidR="00CD3F85" w:rsidRPr="001A1743" w:rsidRDefault="00CD3F85" w:rsidP="00672E1D">
      <w:pPr>
        <w:spacing w:before="0" w:after="0"/>
        <w:ind w:left="0" w:firstLine="0"/>
        <w:rPr>
          <w:rFonts w:asciiTheme="majorHAnsi" w:hAnsiTheme="majorHAnsi"/>
          <w:sz w:val="28"/>
          <w:szCs w:val="28"/>
          <w:lang w:val="sv-FI"/>
        </w:rPr>
      </w:pPr>
    </w:p>
    <w:p w14:paraId="696DDD19" w14:textId="44288C27" w:rsidR="00FE01D7" w:rsidRPr="00276E1B" w:rsidRDefault="00672E1D" w:rsidP="00672E1D">
      <w:pPr>
        <w:spacing w:before="0" w:after="0"/>
        <w:ind w:left="0" w:firstLine="0"/>
        <w:rPr>
          <w:rFonts w:asciiTheme="majorHAnsi" w:hAnsiTheme="majorHAnsi"/>
          <w:sz w:val="28"/>
          <w:szCs w:val="28"/>
          <w:lang w:val="sv-SE"/>
        </w:rPr>
      </w:pPr>
      <w:r>
        <w:rPr>
          <w:rFonts w:asciiTheme="majorHAnsi" w:hAnsiTheme="majorHAnsi"/>
          <w:sz w:val="28"/>
          <w:szCs w:val="28"/>
          <w:lang w:val="sv"/>
        </w:rPr>
        <w:t>INNEHÅLL</w:t>
      </w:r>
    </w:p>
    <w:p w14:paraId="2B38665E" w14:textId="77777777" w:rsidR="00672E1D" w:rsidRPr="00276E1B" w:rsidRDefault="00672E1D" w:rsidP="00672E1D">
      <w:pPr>
        <w:spacing w:before="0" w:after="0"/>
        <w:ind w:left="0" w:firstLine="0"/>
        <w:rPr>
          <w:rFonts w:asciiTheme="majorHAnsi" w:hAnsiTheme="majorHAnsi"/>
          <w:lang w:val="sv-SE"/>
        </w:rPr>
      </w:pPr>
      <w:r>
        <w:rPr>
          <w:lang w:val="sv"/>
        </w:rPr>
        <w:tab/>
      </w:r>
    </w:p>
    <w:p w14:paraId="36C80690" w14:textId="7607FB16" w:rsidR="00D914EA" w:rsidRPr="00276E1B" w:rsidRDefault="00672E1D" w:rsidP="00672E1D">
      <w:pPr>
        <w:spacing w:before="0" w:after="0"/>
        <w:ind w:left="0" w:firstLine="0"/>
        <w:rPr>
          <w:rFonts w:asciiTheme="majorHAnsi" w:hAnsiTheme="majorHAnsi"/>
          <w:b/>
          <w:bCs/>
          <w:sz w:val="28"/>
          <w:szCs w:val="28"/>
          <w:lang w:val="sv-SE"/>
        </w:rPr>
      </w:pPr>
      <w:r>
        <w:rPr>
          <w:rFonts w:asciiTheme="majorHAnsi" w:hAnsiTheme="majorHAnsi"/>
          <w:b/>
          <w:bCs/>
          <w:sz w:val="28"/>
          <w:szCs w:val="28"/>
          <w:lang w:val="sv"/>
        </w:rPr>
        <w:t>DETALJFÖRSÄLJNINGSVILLKOR FÖR GAS</w:t>
      </w:r>
    </w:p>
    <w:p w14:paraId="7D71138D" w14:textId="77777777" w:rsidR="00672E1D" w:rsidRPr="00276E1B" w:rsidRDefault="00672E1D" w:rsidP="00672E1D">
      <w:pPr>
        <w:spacing w:before="0" w:after="0"/>
        <w:ind w:left="0" w:firstLine="0"/>
        <w:rPr>
          <w:rFonts w:asciiTheme="majorHAnsi" w:hAnsiTheme="majorHAnsi"/>
          <w:lang w:val="sv-SE"/>
        </w:rPr>
      </w:pPr>
    </w:p>
    <w:p w14:paraId="06F30A9D" w14:textId="1A6F4836" w:rsidR="001A1743" w:rsidRDefault="00FE01D7">
      <w:pPr>
        <w:pStyle w:val="Sisluet10"/>
        <w:rPr>
          <w:rFonts w:asciiTheme="minorHAnsi" w:eastAsiaTheme="minorEastAsia" w:hAnsiTheme="minorHAnsi" w:cstheme="minorBidi"/>
          <w:noProof/>
        </w:rPr>
      </w:pPr>
      <w:r>
        <w:rPr>
          <w:rFonts w:cs="Calibri"/>
          <w:lang w:val="sv"/>
        </w:rPr>
        <w:fldChar w:fldCharType="begin"/>
      </w:r>
      <w:r>
        <w:rPr>
          <w:rFonts w:cs="Calibri"/>
        </w:rPr>
        <w:instrText xml:space="preserve"> TOC \o "1-3" \h \z \u </w:instrText>
      </w:r>
      <w:r>
        <w:rPr>
          <w:rFonts w:cs="Calibri"/>
        </w:rPr>
        <w:fldChar w:fldCharType="separate"/>
      </w:r>
      <w:hyperlink w:anchor="_Toc27643653" w:history="1">
        <w:r w:rsidR="001A1743" w:rsidRPr="00133B7A">
          <w:rPr>
            <w:rStyle w:val="Hyperlinkki"/>
            <w:rFonts w:asciiTheme="majorHAnsi" w:hAnsiTheme="majorHAnsi" w:cs="Calibri"/>
            <w:noProof/>
          </w:rPr>
          <w:t>1.</w:t>
        </w:r>
        <w:r w:rsidR="001A1743">
          <w:rPr>
            <w:rFonts w:asciiTheme="minorHAnsi" w:eastAsiaTheme="minorEastAsia" w:hAnsiTheme="minorHAnsi" w:cstheme="minorBidi"/>
            <w:noProof/>
          </w:rPr>
          <w:tab/>
        </w:r>
        <w:r w:rsidR="001A1743" w:rsidRPr="00133B7A">
          <w:rPr>
            <w:rStyle w:val="Hyperlinkki"/>
            <w:rFonts w:asciiTheme="majorHAnsi" w:hAnsiTheme="majorHAnsi" w:cs="Calibri"/>
            <w:noProof/>
            <w:lang w:val="sv"/>
          </w:rPr>
          <w:t>Tillämpningsområde</w:t>
        </w:r>
        <w:r w:rsidR="001A1743">
          <w:rPr>
            <w:noProof/>
            <w:webHidden/>
          </w:rPr>
          <w:tab/>
        </w:r>
        <w:r w:rsidR="001A1743">
          <w:rPr>
            <w:noProof/>
            <w:webHidden/>
          </w:rPr>
          <w:fldChar w:fldCharType="begin"/>
        </w:r>
        <w:r w:rsidR="001A1743">
          <w:rPr>
            <w:noProof/>
            <w:webHidden/>
          </w:rPr>
          <w:instrText xml:space="preserve"> PAGEREF _Toc27643653 \h </w:instrText>
        </w:r>
        <w:r w:rsidR="001A1743">
          <w:rPr>
            <w:noProof/>
            <w:webHidden/>
          </w:rPr>
        </w:r>
        <w:r w:rsidR="001A1743">
          <w:rPr>
            <w:noProof/>
            <w:webHidden/>
          </w:rPr>
          <w:fldChar w:fldCharType="separate"/>
        </w:r>
        <w:r w:rsidR="001A1743">
          <w:rPr>
            <w:noProof/>
            <w:webHidden/>
          </w:rPr>
          <w:t>2</w:t>
        </w:r>
        <w:r w:rsidR="001A1743">
          <w:rPr>
            <w:noProof/>
            <w:webHidden/>
          </w:rPr>
          <w:fldChar w:fldCharType="end"/>
        </w:r>
      </w:hyperlink>
    </w:p>
    <w:p w14:paraId="34EACFC6" w14:textId="6E36CD5F" w:rsidR="001A1743" w:rsidRDefault="006264AE">
      <w:pPr>
        <w:pStyle w:val="Sisluet10"/>
        <w:rPr>
          <w:rFonts w:asciiTheme="minorHAnsi" w:eastAsiaTheme="minorEastAsia" w:hAnsiTheme="minorHAnsi" w:cstheme="minorBidi"/>
          <w:noProof/>
        </w:rPr>
      </w:pPr>
      <w:hyperlink w:anchor="_Toc27643654" w:history="1">
        <w:r w:rsidR="001A1743" w:rsidRPr="00133B7A">
          <w:rPr>
            <w:rStyle w:val="Hyperlinkki"/>
            <w:rFonts w:asciiTheme="majorHAnsi" w:hAnsiTheme="majorHAnsi" w:cs="Calibri"/>
            <w:noProof/>
          </w:rPr>
          <w:t>2.</w:t>
        </w:r>
        <w:r w:rsidR="001A1743">
          <w:rPr>
            <w:rFonts w:asciiTheme="minorHAnsi" w:eastAsiaTheme="minorEastAsia" w:hAnsiTheme="minorHAnsi" w:cstheme="minorBidi"/>
            <w:noProof/>
          </w:rPr>
          <w:tab/>
        </w:r>
        <w:r w:rsidR="001A1743" w:rsidRPr="00133B7A">
          <w:rPr>
            <w:rStyle w:val="Hyperlinkki"/>
            <w:rFonts w:asciiTheme="majorHAnsi" w:hAnsiTheme="majorHAnsi" w:cs="Calibri"/>
            <w:noProof/>
            <w:lang w:val="sv"/>
          </w:rPr>
          <w:t>Definitioner</w:t>
        </w:r>
        <w:r w:rsidR="001A1743">
          <w:rPr>
            <w:noProof/>
            <w:webHidden/>
          </w:rPr>
          <w:tab/>
        </w:r>
        <w:r w:rsidR="001A1743">
          <w:rPr>
            <w:noProof/>
            <w:webHidden/>
          </w:rPr>
          <w:fldChar w:fldCharType="begin"/>
        </w:r>
        <w:r w:rsidR="001A1743">
          <w:rPr>
            <w:noProof/>
            <w:webHidden/>
          </w:rPr>
          <w:instrText xml:space="preserve"> PAGEREF _Toc27643654 \h </w:instrText>
        </w:r>
        <w:r w:rsidR="001A1743">
          <w:rPr>
            <w:noProof/>
            <w:webHidden/>
          </w:rPr>
        </w:r>
        <w:r w:rsidR="001A1743">
          <w:rPr>
            <w:noProof/>
            <w:webHidden/>
          </w:rPr>
          <w:fldChar w:fldCharType="separate"/>
        </w:r>
        <w:r w:rsidR="001A1743">
          <w:rPr>
            <w:noProof/>
            <w:webHidden/>
          </w:rPr>
          <w:t>2</w:t>
        </w:r>
        <w:r w:rsidR="001A1743">
          <w:rPr>
            <w:noProof/>
            <w:webHidden/>
          </w:rPr>
          <w:fldChar w:fldCharType="end"/>
        </w:r>
      </w:hyperlink>
    </w:p>
    <w:p w14:paraId="2F31B540" w14:textId="743F1E7F" w:rsidR="001A1743" w:rsidRDefault="006264AE">
      <w:pPr>
        <w:pStyle w:val="Sisluet10"/>
        <w:rPr>
          <w:rFonts w:asciiTheme="minorHAnsi" w:eastAsiaTheme="minorEastAsia" w:hAnsiTheme="minorHAnsi" w:cstheme="minorBidi"/>
          <w:noProof/>
        </w:rPr>
      </w:pPr>
      <w:hyperlink w:anchor="_Toc27643655" w:history="1">
        <w:r w:rsidR="001A1743" w:rsidRPr="00133B7A">
          <w:rPr>
            <w:rStyle w:val="Hyperlinkki"/>
            <w:rFonts w:asciiTheme="majorHAnsi" w:hAnsiTheme="majorHAnsi" w:cs="Calibri"/>
            <w:noProof/>
          </w:rPr>
          <w:t>3.</w:t>
        </w:r>
        <w:r w:rsidR="001A1743">
          <w:rPr>
            <w:rFonts w:asciiTheme="minorHAnsi" w:eastAsiaTheme="minorEastAsia" w:hAnsiTheme="minorHAnsi" w:cstheme="minorBidi"/>
            <w:noProof/>
          </w:rPr>
          <w:tab/>
        </w:r>
        <w:r w:rsidR="001A1743" w:rsidRPr="00133B7A">
          <w:rPr>
            <w:rStyle w:val="Hyperlinkki"/>
            <w:rFonts w:asciiTheme="majorHAnsi" w:hAnsiTheme="majorHAnsi" w:cs="Calibri"/>
            <w:noProof/>
            <w:lang w:val="sv"/>
          </w:rPr>
          <w:t>Ingående av gasförsäljningsavtal och övriga nödvändiga avtal</w:t>
        </w:r>
        <w:r w:rsidR="001A1743">
          <w:rPr>
            <w:noProof/>
            <w:webHidden/>
          </w:rPr>
          <w:tab/>
        </w:r>
        <w:r w:rsidR="001A1743">
          <w:rPr>
            <w:noProof/>
            <w:webHidden/>
          </w:rPr>
          <w:fldChar w:fldCharType="begin"/>
        </w:r>
        <w:r w:rsidR="001A1743">
          <w:rPr>
            <w:noProof/>
            <w:webHidden/>
          </w:rPr>
          <w:instrText xml:space="preserve"> PAGEREF _Toc27643655 \h </w:instrText>
        </w:r>
        <w:r w:rsidR="001A1743">
          <w:rPr>
            <w:noProof/>
            <w:webHidden/>
          </w:rPr>
        </w:r>
        <w:r w:rsidR="001A1743">
          <w:rPr>
            <w:noProof/>
            <w:webHidden/>
          </w:rPr>
          <w:fldChar w:fldCharType="separate"/>
        </w:r>
        <w:r w:rsidR="001A1743">
          <w:rPr>
            <w:noProof/>
            <w:webHidden/>
          </w:rPr>
          <w:t>4</w:t>
        </w:r>
        <w:r w:rsidR="001A1743">
          <w:rPr>
            <w:noProof/>
            <w:webHidden/>
          </w:rPr>
          <w:fldChar w:fldCharType="end"/>
        </w:r>
      </w:hyperlink>
    </w:p>
    <w:p w14:paraId="21031552" w14:textId="59A72FF0" w:rsidR="001A1743" w:rsidRDefault="006264AE">
      <w:pPr>
        <w:pStyle w:val="Sisluet10"/>
        <w:rPr>
          <w:rFonts w:asciiTheme="minorHAnsi" w:eastAsiaTheme="minorEastAsia" w:hAnsiTheme="minorHAnsi" w:cstheme="minorBidi"/>
          <w:noProof/>
        </w:rPr>
      </w:pPr>
      <w:hyperlink w:anchor="_Toc27643656" w:history="1">
        <w:r w:rsidR="001A1743" w:rsidRPr="00133B7A">
          <w:rPr>
            <w:rStyle w:val="Hyperlinkki"/>
            <w:rFonts w:asciiTheme="majorHAnsi" w:hAnsiTheme="majorHAnsi" w:cs="Calibri"/>
            <w:noProof/>
          </w:rPr>
          <w:t>4.</w:t>
        </w:r>
        <w:r w:rsidR="001A1743">
          <w:rPr>
            <w:rFonts w:asciiTheme="minorHAnsi" w:eastAsiaTheme="minorEastAsia" w:hAnsiTheme="minorHAnsi" w:cstheme="minorBidi"/>
            <w:noProof/>
          </w:rPr>
          <w:tab/>
        </w:r>
        <w:r w:rsidR="001A1743" w:rsidRPr="00133B7A">
          <w:rPr>
            <w:rStyle w:val="Hyperlinkki"/>
            <w:rFonts w:asciiTheme="majorHAnsi" w:hAnsiTheme="majorHAnsi" w:cs="Calibri"/>
            <w:noProof/>
            <w:lang w:val="sv"/>
          </w:rPr>
          <w:t>Mätning och fakturering av gas</w:t>
        </w:r>
        <w:r w:rsidR="001A1743">
          <w:rPr>
            <w:noProof/>
            <w:webHidden/>
          </w:rPr>
          <w:tab/>
        </w:r>
        <w:r w:rsidR="001A1743">
          <w:rPr>
            <w:noProof/>
            <w:webHidden/>
          </w:rPr>
          <w:fldChar w:fldCharType="begin"/>
        </w:r>
        <w:r w:rsidR="001A1743">
          <w:rPr>
            <w:noProof/>
            <w:webHidden/>
          </w:rPr>
          <w:instrText xml:space="preserve"> PAGEREF _Toc27643656 \h </w:instrText>
        </w:r>
        <w:r w:rsidR="001A1743">
          <w:rPr>
            <w:noProof/>
            <w:webHidden/>
          </w:rPr>
        </w:r>
        <w:r w:rsidR="001A1743">
          <w:rPr>
            <w:noProof/>
            <w:webHidden/>
          </w:rPr>
          <w:fldChar w:fldCharType="separate"/>
        </w:r>
        <w:r w:rsidR="001A1743">
          <w:rPr>
            <w:noProof/>
            <w:webHidden/>
          </w:rPr>
          <w:t>7</w:t>
        </w:r>
        <w:r w:rsidR="001A1743">
          <w:rPr>
            <w:noProof/>
            <w:webHidden/>
          </w:rPr>
          <w:fldChar w:fldCharType="end"/>
        </w:r>
      </w:hyperlink>
    </w:p>
    <w:p w14:paraId="0E559FB1" w14:textId="7E27426B" w:rsidR="001A1743" w:rsidRDefault="006264AE">
      <w:pPr>
        <w:pStyle w:val="Sisluet10"/>
        <w:rPr>
          <w:rFonts w:asciiTheme="minorHAnsi" w:eastAsiaTheme="minorEastAsia" w:hAnsiTheme="minorHAnsi" w:cstheme="minorBidi"/>
          <w:noProof/>
        </w:rPr>
      </w:pPr>
      <w:hyperlink w:anchor="_Toc27643657" w:history="1">
        <w:r w:rsidR="001A1743" w:rsidRPr="00133B7A">
          <w:rPr>
            <w:rStyle w:val="Hyperlinkki"/>
            <w:rFonts w:asciiTheme="majorHAnsi" w:hAnsiTheme="majorHAnsi" w:cs="Calibri"/>
            <w:noProof/>
          </w:rPr>
          <w:t>5.</w:t>
        </w:r>
        <w:r w:rsidR="001A1743">
          <w:rPr>
            <w:rFonts w:asciiTheme="minorHAnsi" w:eastAsiaTheme="minorEastAsia" w:hAnsiTheme="minorHAnsi" w:cstheme="minorBidi"/>
            <w:noProof/>
          </w:rPr>
          <w:tab/>
        </w:r>
        <w:r w:rsidR="001A1743" w:rsidRPr="00133B7A">
          <w:rPr>
            <w:rStyle w:val="Hyperlinkki"/>
            <w:rFonts w:asciiTheme="majorHAnsi" w:hAnsiTheme="majorHAnsi" w:cs="Calibri"/>
            <w:noProof/>
            <w:lang w:val="sv"/>
          </w:rPr>
          <w:t>Säkerhet eller förskott</w:t>
        </w:r>
        <w:r w:rsidR="001A1743">
          <w:rPr>
            <w:noProof/>
            <w:webHidden/>
          </w:rPr>
          <w:tab/>
        </w:r>
        <w:r w:rsidR="001A1743">
          <w:rPr>
            <w:noProof/>
            <w:webHidden/>
          </w:rPr>
          <w:fldChar w:fldCharType="begin"/>
        </w:r>
        <w:r w:rsidR="001A1743">
          <w:rPr>
            <w:noProof/>
            <w:webHidden/>
          </w:rPr>
          <w:instrText xml:space="preserve"> PAGEREF _Toc27643657 \h </w:instrText>
        </w:r>
        <w:r w:rsidR="001A1743">
          <w:rPr>
            <w:noProof/>
            <w:webHidden/>
          </w:rPr>
        </w:r>
        <w:r w:rsidR="001A1743">
          <w:rPr>
            <w:noProof/>
            <w:webHidden/>
          </w:rPr>
          <w:fldChar w:fldCharType="separate"/>
        </w:r>
        <w:r w:rsidR="001A1743">
          <w:rPr>
            <w:noProof/>
            <w:webHidden/>
          </w:rPr>
          <w:t>9</w:t>
        </w:r>
        <w:r w:rsidR="001A1743">
          <w:rPr>
            <w:noProof/>
            <w:webHidden/>
          </w:rPr>
          <w:fldChar w:fldCharType="end"/>
        </w:r>
      </w:hyperlink>
    </w:p>
    <w:p w14:paraId="05DC05EC" w14:textId="3ECA75F7" w:rsidR="001A1743" w:rsidRDefault="006264AE">
      <w:pPr>
        <w:pStyle w:val="Sisluet10"/>
        <w:rPr>
          <w:rFonts w:asciiTheme="minorHAnsi" w:eastAsiaTheme="minorEastAsia" w:hAnsiTheme="minorHAnsi" w:cstheme="minorBidi"/>
          <w:noProof/>
        </w:rPr>
      </w:pPr>
      <w:hyperlink w:anchor="_Toc27643658" w:history="1">
        <w:r w:rsidR="001A1743" w:rsidRPr="00133B7A">
          <w:rPr>
            <w:rStyle w:val="Hyperlinkki"/>
            <w:rFonts w:asciiTheme="majorHAnsi" w:hAnsiTheme="majorHAnsi" w:cs="Calibri"/>
            <w:noProof/>
          </w:rPr>
          <w:t>6.</w:t>
        </w:r>
        <w:r w:rsidR="001A1743">
          <w:rPr>
            <w:rFonts w:asciiTheme="minorHAnsi" w:eastAsiaTheme="minorEastAsia" w:hAnsiTheme="minorHAnsi" w:cstheme="minorBidi"/>
            <w:noProof/>
          </w:rPr>
          <w:tab/>
        </w:r>
        <w:r w:rsidR="001A1743" w:rsidRPr="00133B7A">
          <w:rPr>
            <w:rStyle w:val="Hyperlinkki"/>
            <w:rFonts w:asciiTheme="majorHAnsi" w:hAnsiTheme="majorHAnsi" w:cs="Calibri"/>
            <w:noProof/>
            <w:lang w:val="sv"/>
          </w:rPr>
          <w:t>Dröjsmål, fel och ansvarsfrågor</w:t>
        </w:r>
        <w:r w:rsidR="001A1743">
          <w:rPr>
            <w:noProof/>
            <w:webHidden/>
          </w:rPr>
          <w:tab/>
        </w:r>
        <w:r w:rsidR="001A1743">
          <w:rPr>
            <w:noProof/>
            <w:webHidden/>
          </w:rPr>
          <w:fldChar w:fldCharType="begin"/>
        </w:r>
        <w:r w:rsidR="001A1743">
          <w:rPr>
            <w:noProof/>
            <w:webHidden/>
          </w:rPr>
          <w:instrText xml:space="preserve"> PAGEREF _Toc27643658 \h </w:instrText>
        </w:r>
        <w:r w:rsidR="001A1743">
          <w:rPr>
            <w:noProof/>
            <w:webHidden/>
          </w:rPr>
        </w:r>
        <w:r w:rsidR="001A1743">
          <w:rPr>
            <w:noProof/>
            <w:webHidden/>
          </w:rPr>
          <w:fldChar w:fldCharType="separate"/>
        </w:r>
        <w:r w:rsidR="001A1743">
          <w:rPr>
            <w:noProof/>
            <w:webHidden/>
          </w:rPr>
          <w:t>10</w:t>
        </w:r>
        <w:r w:rsidR="001A1743">
          <w:rPr>
            <w:noProof/>
            <w:webHidden/>
          </w:rPr>
          <w:fldChar w:fldCharType="end"/>
        </w:r>
      </w:hyperlink>
    </w:p>
    <w:p w14:paraId="64DBE02F" w14:textId="50F87EA7" w:rsidR="001A1743" w:rsidRDefault="006264AE">
      <w:pPr>
        <w:pStyle w:val="Sisluet10"/>
        <w:rPr>
          <w:rFonts w:asciiTheme="minorHAnsi" w:eastAsiaTheme="minorEastAsia" w:hAnsiTheme="minorHAnsi" w:cstheme="minorBidi"/>
          <w:noProof/>
        </w:rPr>
      </w:pPr>
      <w:hyperlink w:anchor="_Toc27643659" w:history="1">
        <w:r w:rsidR="001A1743" w:rsidRPr="00133B7A">
          <w:rPr>
            <w:rStyle w:val="Hyperlinkki"/>
            <w:rFonts w:asciiTheme="majorHAnsi" w:hAnsiTheme="majorHAnsi" w:cs="Calibri"/>
            <w:noProof/>
          </w:rPr>
          <w:t>7.</w:t>
        </w:r>
        <w:r w:rsidR="001A1743">
          <w:rPr>
            <w:rFonts w:asciiTheme="minorHAnsi" w:eastAsiaTheme="minorEastAsia" w:hAnsiTheme="minorHAnsi" w:cstheme="minorBidi"/>
            <w:noProof/>
          </w:rPr>
          <w:tab/>
        </w:r>
        <w:r w:rsidR="001A1743" w:rsidRPr="00133B7A">
          <w:rPr>
            <w:rStyle w:val="Hyperlinkki"/>
            <w:rFonts w:asciiTheme="majorHAnsi" w:hAnsiTheme="majorHAnsi" w:cs="Calibri"/>
            <w:noProof/>
            <w:lang w:val="sv"/>
          </w:rPr>
          <w:t>Avbrott i gasförsäljningen</w:t>
        </w:r>
        <w:r w:rsidR="001A1743">
          <w:rPr>
            <w:noProof/>
            <w:webHidden/>
          </w:rPr>
          <w:tab/>
        </w:r>
        <w:r w:rsidR="001A1743">
          <w:rPr>
            <w:noProof/>
            <w:webHidden/>
          </w:rPr>
          <w:fldChar w:fldCharType="begin"/>
        </w:r>
        <w:r w:rsidR="001A1743">
          <w:rPr>
            <w:noProof/>
            <w:webHidden/>
          </w:rPr>
          <w:instrText xml:space="preserve"> PAGEREF _Toc27643659 \h </w:instrText>
        </w:r>
        <w:r w:rsidR="001A1743">
          <w:rPr>
            <w:noProof/>
            <w:webHidden/>
          </w:rPr>
        </w:r>
        <w:r w:rsidR="001A1743">
          <w:rPr>
            <w:noProof/>
            <w:webHidden/>
          </w:rPr>
          <w:fldChar w:fldCharType="separate"/>
        </w:r>
        <w:r w:rsidR="001A1743">
          <w:rPr>
            <w:noProof/>
            <w:webHidden/>
          </w:rPr>
          <w:t>12</w:t>
        </w:r>
        <w:r w:rsidR="001A1743">
          <w:rPr>
            <w:noProof/>
            <w:webHidden/>
          </w:rPr>
          <w:fldChar w:fldCharType="end"/>
        </w:r>
      </w:hyperlink>
    </w:p>
    <w:p w14:paraId="623466C7" w14:textId="32FF3C8F" w:rsidR="001A1743" w:rsidRDefault="006264AE">
      <w:pPr>
        <w:pStyle w:val="Sisluet10"/>
        <w:rPr>
          <w:rFonts w:asciiTheme="minorHAnsi" w:eastAsiaTheme="minorEastAsia" w:hAnsiTheme="minorHAnsi" w:cstheme="minorBidi"/>
          <w:noProof/>
        </w:rPr>
      </w:pPr>
      <w:hyperlink w:anchor="_Toc27643660" w:history="1">
        <w:r w:rsidR="001A1743" w:rsidRPr="00133B7A">
          <w:rPr>
            <w:rStyle w:val="Hyperlinkki"/>
            <w:rFonts w:asciiTheme="majorHAnsi" w:hAnsiTheme="majorHAnsi" w:cs="Calibri"/>
            <w:noProof/>
          </w:rPr>
          <w:t>8.</w:t>
        </w:r>
        <w:r w:rsidR="001A1743">
          <w:rPr>
            <w:rFonts w:asciiTheme="minorHAnsi" w:eastAsiaTheme="minorEastAsia" w:hAnsiTheme="minorHAnsi" w:cstheme="minorBidi"/>
            <w:noProof/>
          </w:rPr>
          <w:tab/>
        </w:r>
        <w:r w:rsidR="001A1743" w:rsidRPr="00133B7A">
          <w:rPr>
            <w:rStyle w:val="Hyperlinkki"/>
            <w:rFonts w:asciiTheme="majorHAnsi" w:hAnsiTheme="majorHAnsi" w:cs="Calibri"/>
            <w:noProof/>
            <w:lang w:val="sv"/>
          </w:rPr>
          <w:t>Ändring av villkor och priser i gasförsäljningsavtal</w:t>
        </w:r>
        <w:r w:rsidR="001A1743">
          <w:rPr>
            <w:noProof/>
            <w:webHidden/>
          </w:rPr>
          <w:tab/>
        </w:r>
        <w:r w:rsidR="001A1743">
          <w:rPr>
            <w:noProof/>
            <w:webHidden/>
          </w:rPr>
          <w:fldChar w:fldCharType="begin"/>
        </w:r>
        <w:r w:rsidR="001A1743">
          <w:rPr>
            <w:noProof/>
            <w:webHidden/>
          </w:rPr>
          <w:instrText xml:space="preserve"> PAGEREF _Toc27643660 \h </w:instrText>
        </w:r>
        <w:r w:rsidR="001A1743">
          <w:rPr>
            <w:noProof/>
            <w:webHidden/>
          </w:rPr>
        </w:r>
        <w:r w:rsidR="001A1743">
          <w:rPr>
            <w:noProof/>
            <w:webHidden/>
          </w:rPr>
          <w:fldChar w:fldCharType="separate"/>
        </w:r>
        <w:r w:rsidR="001A1743">
          <w:rPr>
            <w:noProof/>
            <w:webHidden/>
          </w:rPr>
          <w:t>13</w:t>
        </w:r>
        <w:r w:rsidR="001A1743">
          <w:rPr>
            <w:noProof/>
            <w:webHidden/>
          </w:rPr>
          <w:fldChar w:fldCharType="end"/>
        </w:r>
      </w:hyperlink>
    </w:p>
    <w:p w14:paraId="0F57DC3A" w14:textId="5F9AB2E8" w:rsidR="001A1743" w:rsidRDefault="006264AE">
      <w:pPr>
        <w:pStyle w:val="Sisluet10"/>
        <w:rPr>
          <w:rFonts w:asciiTheme="minorHAnsi" w:eastAsiaTheme="minorEastAsia" w:hAnsiTheme="minorHAnsi" w:cstheme="minorBidi"/>
          <w:noProof/>
        </w:rPr>
      </w:pPr>
      <w:hyperlink w:anchor="_Toc27643661" w:history="1">
        <w:r w:rsidR="001A1743" w:rsidRPr="00133B7A">
          <w:rPr>
            <w:rStyle w:val="Hyperlinkki"/>
            <w:rFonts w:asciiTheme="majorHAnsi" w:hAnsiTheme="majorHAnsi" w:cs="Calibri"/>
            <w:noProof/>
          </w:rPr>
          <w:t>9.</w:t>
        </w:r>
        <w:r w:rsidR="001A1743">
          <w:rPr>
            <w:rFonts w:asciiTheme="minorHAnsi" w:eastAsiaTheme="minorEastAsia" w:hAnsiTheme="minorHAnsi" w:cstheme="minorBidi"/>
            <w:noProof/>
          </w:rPr>
          <w:tab/>
        </w:r>
        <w:r w:rsidR="001A1743" w:rsidRPr="00133B7A">
          <w:rPr>
            <w:rStyle w:val="Hyperlinkki"/>
            <w:rFonts w:asciiTheme="majorHAnsi" w:hAnsiTheme="majorHAnsi" w:cs="Calibri"/>
            <w:noProof/>
            <w:lang w:val="sv"/>
          </w:rPr>
          <w:t>Överföring och upphörande av gasförsäljningsavtal</w:t>
        </w:r>
        <w:r w:rsidR="001A1743">
          <w:rPr>
            <w:noProof/>
            <w:webHidden/>
          </w:rPr>
          <w:tab/>
        </w:r>
        <w:r w:rsidR="001A1743">
          <w:rPr>
            <w:noProof/>
            <w:webHidden/>
          </w:rPr>
          <w:fldChar w:fldCharType="begin"/>
        </w:r>
        <w:r w:rsidR="001A1743">
          <w:rPr>
            <w:noProof/>
            <w:webHidden/>
          </w:rPr>
          <w:instrText xml:space="preserve"> PAGEREF _Toc27643661 \h </w:instrText>
        </w:r>
        <w:r w:rsidR="001A1743">
          <w:rPr>
            <w:noProof/>
            <w:webHidden/>
          </w:rPr>
        </w:r>
        <w:r w:rsidR="001A1743">
          <w:rPr>
            <w:noProof/>
            <w:webHidden/>
          </w:rPr>
          <w:fldChar w:fldCharType="separate"/>
        </w:r>
        <w:r w:rsidR="001A1743">
          <w:rPr>
            <w:noProof/>
            <w:webHidden/>
          </w:rPr>
          <w:t>14</w:t>
        </w:r>
        <w:r w:rsidR="001A1743">
          <w:rPr>
            <w:noProof/>
            <w:webHidden/>
          </w:rPr>
          <w:fldChar w:fldCharType="end"/>
        </w:r>
      </w:hyperlink>
    </w:p>
    <w:p w14:paraId="38A8612E" w14:textId="0D4A0AB9" w:rsidR="001A1743" w:rsidRDefault="006264AE">
      <w:pPr>
        <w:pStyle w:val="Sisluet10"/>
        <w:rPr>
          <w:rFonts w:asciiTheme="minorHAnsi" w:eastAsiaTheme="minorEastAsia" w:hAnsiTheme="minorHAnsi" w:cstheme="minorBidi"/>
          <w:noProof/>
        </w:rPr>
      </w:pPr>
      <w:hyperlink w:anchor="_Toc27643662" w:history="1">
        <w:r w:rsidR="001A1743" w:rsidRPr="00133B7A">
          <w:rPr>
            <w:rStyle w:val="Hyperlinkki"/>
            <w:rFonts w:asciiTheme="majorHAnsi" w:hAnsiTheme="majorHAnsi" w:cs="Calibri"/>
            <w:noProof/>
          </w:rPr>
          <w:t>10.</w:t>
        </w:r>
        <w:r w:rsidR="001A1743">
          <w:rPr>
            <w:rFonts w:asciiTheme="minorHAnsi" w:eastAsiaTheme="minorEastAsia" w:hAnsiTheme="minorHAnsi" w:cstheme="minorBidi"/>
            <w:noProof/>
          </w:rPr>
          <w:tab/>
        </w:r>
        <w:r w:rsidR="001A1743" w:rsidRPr="00133B7A">
          <w:rPr>
            <w:rStyle w:val="Hyperlinkki"/>
            <w:rFonts w:asciiTheme="majorHAnsi" w:hAnsiTheme="majorHAnsi" w:cs="Calibri"/>
            <w:noProof/>
            <w:lang w:val="sv"/>
          </w:rPr>
          <w:t>Avgörande av tvister</w:t>
        </w:r>
        <w:r w:rsidR="001A1743">
          <w:rPr>
            <w:noProof/>
            <w:webHidden/>
          </w:rPr>
          <w:tab/>
        </w:r>
        <w:r w:rsidR="001A1743">
          <w:rPr>
            <w:noProof/>
            <w:webHidden/>
          </w:rPr>
          <w:fldChar w:fldCharType="begin"/>
        </w:r>
        <w:r w:rsidR="001A1743">
          <w:rPr>
            <w:noProof/>
            <w:webHidden/>
          </w:rPr>
          <w:instrText xml:space="preserve"> PAGEREF _Toc27643662 \h </w:instrText>
        </w:r>
        <w:r w:rsidR="001A1743">
          <w:rPr>
            <w:noProof/>
            <w:webHidden/>
          </w:rPr>
        </w:r>
        <w:r w:rsidR="001A1743">
          <w:rPr>
            <w:noProof/>
            <w:webHidden/>
          </w:rPr>
          <w:fldChar w:fldCharType="separate"/>
        </w:r>
        <w:r w:rsidR="001A1743">
          <w:rPr>
            <w:noProof/>
            <w:webHidden/>
          </w:rPr>
          <w:t>16</w:t>
        </w:r>
        <w:r w:rsidR="001A1743">
          <w:rPr>
            <w:noProof/>
            <w:webHidden/>
          </w:rPr>
          <w:fldChar w:fldCharType="end"/>
        </w:r>
      </w:hyperlink>
    </w:p>
    <w:p w14:paraId="7B7B29E6" w14:textId="2EA4FFD2" w:rsidR="00FE01D7" w:rsidRPr="00650068" w:rsidRDefault="00FE01D7" w:rsidP="00FE01D7">
      <w:pPr>
        <w:rPr>
          <w:rFonts w:ascii="Calibri" w:hAnsi="Calibri" w:cs="Calibri"/>
          <w:sz w:val="22"/>
          <w:szCs w:val="22"/>
        </w:rPr>
      </w:pPr>
      <w:r>
        <w:rPr>
          <w:rFonts w:ascii="Calibri" w:hAnsi="Calibri" w:cs="Calibri"/>
          <w:b/>
          <w:bCs/>
          <w:sz w:val="22"/>
          <w:szCs w:val="22"/>
        </w:rPr>
        <w:fldChar w:fldCharType="end"/>
      </w:r>
    </w:p>
    <w:p w14:paraId="3F03606E" w14:textId="77777777" w:rsidR="00FE01D7" w:rsidRPr="00650068" w:rsidRDefault="00FE01D7" w:rsidP="007D3745">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357" w:firstLine="0"/>
        <w:rPr>
          <w:rFonts w:ascii="Calibri" w:hAnsi="Calibri" w:cs="Calibri"/>
          <w:b/>
          <w:sz w:val="22"/>
          <w:szCs w:val="22"/>
        </w:rPr>
      </w:pPr>
      <w:r>
        <w:rPr>
          <w:rFonts w:ascii="Calibri" w:hAnsi="Calibri" w:cs="Calibri"/>
          <w:b/>
          <w:bCs/>
          <w:sz w:val="22"/>
          <w:szCs w:val="22"/>
          <w:lang w:val="sv"/>
        </w:rPr>
        <w:br w:type="page"/>
      </w:r>
    </w:p>
    <w:p w14:paraId="652BDFD6" w14:textId="498231BF" w:rsidR="007D3745" w:rsidRPr="00B50D5A" w:rsidRDefault="00CD3F85" w:rsidP="00B50D5A">
      <w:pPr>
        <w:pStyle w:val="Leipteksti"/>
        <w:ind w:left="0" w:firstLine="1304"/>
        <w:rPr>
          <w:rFonts w:asciiTheme="minorHAnsi" w:hAnsiTheme="minorHAnsi" w:cstheme="minorHAnsi"/>
          <w:b/>
          <w:bCs/>
          <w:sz w:val="28"/>
          <w:szCs w:val="28"/>
        </w:rPr>
      </w:pPr>
      <w:r>
        <w:rPr>
          <w:rFonts w:asciiTheme="minorHAnsi" w:hAnsiTheme="minorHAnsi" w:cstheme="minorHAnsi"/>
          <w:b/>
          <w:bCs/>
          <w:sz w:val="28"/>
          <w:szCs w:val="28"/>
          <w:lang w:val="sv"/>
        </w:rPr>
        <w:lastRenderedPageBreak/>
        <w:t>Detaljförsäljningsvillkor för gas</w:t>
      </w:r>
    </w:p>
    <w:p w14:paraId="5F36F579" w14:textId="77777777" w:rsidR="00FE01D7" w:rsidRPr="00907669" w:rsidRDefault="00FE01D7" w:rsidP="007D3745">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rPr>
          <w:rFonts w:asciiTheme="majorHAnsi" w:hAnsiTheme="majorHAnsi" w:cs="Calibri"/>
          <w:szCs w:val="28"/>
        </w:rPr>
      </w:pPr>
      <w:bookmarkStart w:id="2" w:name="_Toc27643653"/>
      <w:r>
        <w:rPr>
          <w:rFonts w:asciiTheme="majorHAnsi" w:hAnsiTheme="majorHAnsi" w:cs="Calibri"/>
          <w:szCs w:val="28"/>
          <w:lang w:val="sv"/>
        </w:rPr>
        <w:t>Tillämpningsområde</w:t>
      </w:r>
      <w:bookmarkEnd w:id="2"/>
    </w:p>
    <w:p w14:paraId="5A740FE7" w14:textId="4E2535BE"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Dessa allmänna gasförsäljningsvillkor tillämpas på detaljförsäljning av naturgas och gas från förnybara energikällor (nedan gas) till slutförbrukare som är anslutna till distributionsnätet. Dessa villkor är en del av försäljningsavtalet mellan slutförbrukaren av gas (nedan användaren) och gasförsäljaren. Som detaljförsäljning av gas anses gasförsäljning via gasdistributionsnätet direkt till användaren.</w:t>
      </w:r>
    </w:p>
    <w:p w14:paraId="048BABD8" w14:textId="704AEC91" w:rsidR="00B97173" w:rsidRPr="001A1743" w:rsidRDefault="00B97173"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Dessa villkor omfattar inte direkt inmatning av gas från förnybara energikällor till distributionsnätet från gasproduktionsanläggningar.</w:t>
      </w:r>
    </w:p>
    <w:p w14:paraId="49D16A2C" w14:textId="77777777" w:rsidR="00907669" w:rsidRPr="001A1743" w:rsidRDefault="00907669" w:rsidP="00907669">
      <w:pPr>
        <w:pStyle w:val="Leipteksti24"/>
        <w:numPr>
          <w:ilvl w:val="0"/>
          <w:numId w:val="0"/>
        </w:numPr>
        <w:tabs>
          <w:tab w:val="clear" w:pos="-1620"/>
          <w:tab w:val="clear" w:pos="1296"/>
          <w:tab w:val="left" w:pos="1134"/>
        </w:tabs>
        <w:spacing w:before="0" w:after="0"/>
        <w:outlineLvl w:val="1"/>
        <w:rPr>
          <w:rFonts w:ascii="Calibri" w:hAnsi="Calibri" w:cs="Calibri"/>
          <w:sz w:val="22"/>
          <w:szCs w:val="22"/>
          <w:lang w:val="sv-FI"/>
        </w:rPr>
      </w:pPr>
    </w:p>
    <w:p w14:paraId="6CE01F2A" w14:textId="7A1BEF09" w:rsidR="00FE01D7" w:rsidRPr="00907669" w:rsidRDefault="00FE01D7" w:rsidP="007D3745">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rPr>
          <w:rFonts w:asciiTheme="majorHAnsi" w:hAnsiTheme="majorHAnsi" w:cs="Calibri"/>
          <w:szCs w:val="28"/>
        </w:rPr>
      </w:pPr>
      <w:bookmarkStart w:id="3" w:name="_Toc27643654"/>
      <w:r>
        <w:rPr>
          <w:rFonts w:asciiTheme="majorHAnsi" w:hAnsiTheme="majorHAnsi" w:cs="Calibri"/>
          <w:szCs w:val="28"/>
          <w:lang w:val="sv"/>
        </w:rPr>
        <w:t>Definitioner</w:t>
      </w:r>
      <w:bookmarkEnd w:id="3"/>
    </w:p>
    <w:p w14:paraId="6D186F4A" w14:textId="4362729D" w:rsidR="001C1912" w:rsidRPr="001A1743" w:rsidRDefault="001C1912"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gas</w:t>
      </w:r>
      <w:r>
        <w:rPr>
          <w:rFonts w:ascii="Calibri" w:hAnsi="Calibri" w:cs="Calibri"/>
          <w:sz w:val="22"/>
          <w:szCs w:val="22"/>
          <w:lang w:val="sv"/>
        </w:rPr>
        <w:t xml:space="preserve"> avses naturgas och gas från förnybara energikällor samt en blandning av dessa, som överförs i ett gasdistributionsnät som är i gasdistributionsnätsinnehavarens besittning. Gasen uppfyller till sin kvalitet den systemansvarigas villkor och allmänt tillämpade standarder i branschen.</w:t>
      </w:r>
    </w:p>
    <w:p w14:paraId="5D724C69" w14:textId="7B88598E" w:rsidR="001C1912" w:rsidRPr="001A1743" w:rsidRDefault="001C1912"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gasnättjänst (nättjänst)</w:t>
      </w:r>
      <w:r>
        <w:rPr>
          <w:rFonts w:ascii="Calibri" w:hAnsi="Calibri" w:cs="Calibri"/>
          <w:sz w:val="22"/>
          <w:szCs w:val="22"/>
          <w:lang w:val="sv"/>
        </w:rPr>
        <w:t xml:space="preserve"> avses all den verksamhet som distributionsnätsinnehavaren utför för att möjliggöra gasdistribution mot vederlag i distributionsnätsinnehavarens gasdistributionsnät.</w:t>
      </w:r>
    </w:p>
    <w:p w14:paraId="04EA52F5" w14:textId="161D5CBF" w:rsidR="001C1912" w:rsidRPr="001A1743" w:rsidRDefault="001C1912"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distributionsnät för gas (distributionsnät)</w:t>
      </w:r>
      <w:r>
        <w:rPr>
          <w:rFonts w:ascii="Calibri" w:hAnsi="Calibri" w:cs="Calibri"/>
          <w:sz w:val="22"/>
          <w:szCs w:val="22"/>
          <w:lang w:val="sv"/>
        </w:rPr>
        <w:t xml:space="preserve"> avses ett lokalt eller regionalt rörsystem för gas via vilket naturgas transporteras under reducerat tryck, inklusive den del av högtrycksrörledningarna som huvudsakligen används för lokal distribution av gas. </w:t>
      </w:r>
    </w:p>
    <w:p w14:paraId="2C7D2951" w14:textId="1B142CC2" w:rsidR="001C1912" w:rsidRPr="001A1743" w:rsidRDefault="001C1912"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i/>
          <w:iCs/>
          <w:sz w:val="22"/>
          <w:szCs w:val="22"/>
          <w:lang w:val="sv"/>
        </w:rPr>
        <w:t>Kunden</w:t>
      </w:r>
      <w:r>
        <w:rPr>
          <w:rFonts w:ascii="Calibri" w:hAnsi="Calibri" w:cs="Calibri"/>
          <w:sz w:val="22"/>
          <w:szCs w:val="22"/>
          <w:lang w:val="sv"/>
        </w:rPr>
        <w:t xml:space="preserve"> är ägare eller innehavare av ett gasdriftsställe och ingår ett gasanslutningsavtal med distributionsnätsinnehavaren.</w:t>
      </w:r>
    </w:p>
    <w:p w14:paraId="21C9B660" w14:textId="38570266" w:rsidR="00281D8E" w:rsidRPr="001A1743" w:rsidRDefault="001C1912"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anslutningseffekt</w:t>
      </w:r>
      <w:r>
        <w:rPr>
          <w:rFonts w:ascii="Calibri" w:hAnsi="Calibri" w:cs="Calibri"/>
          <w:sz w:val="22"/>
          <w:szCs w:val="22"/>
          <w:lang w:val="sv"/>
        </w:rPr>
        <w:t xml:space="preserve"> avses den gaseffekt som reserverats för gasanslutningen. </w:t>
      </w:r>
    </w:p>
    <w:p w14:paraId="4C606A64" w14:textId="77777777" w:rsidR="00907669" w:rsidRPr="001A1743" w:rsidRDefault="00FA5F46"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i/>
          <w:iCs/>
          <w:sz w:val="22"/>
          <w:szCs w:val="22"/>
          <w:lang w:val="sv"/>
        </w:rPr>
        <w:t>Gasanvändare</w:t>
      </w:r>
      <w:r>
        <w:rPr>
          <w:rFonts w:ascii="Calibri" w:hAnsi="Calibri" w:cs="Calibri"/>
          <w:sz w:val="22"/>
          <w:szCs w:val="22"/>
          <w:lang w:val="sv"/>
        </w:rPr>
        <w:t xml:space="preserve"> (</w:t>
      </w:r>
      <w:r>
        <w:rPr>
          <w:rFonts w:ascii="Calibri" w:hAnsi="Calibri" w:cs="Calibri"/>
          <w:i/>
          <w:iCs/>
          <w:sz w:val="22"/>
          <w:szCs w:val="22"/>
          <w:lang w:val="sv"/>
        </w:rPr>
        <w:t>användare</w:t>
      </w:r>
      <w:r>
        <w:rPr>
          <w:rFonts w:ascii="Calibri" w:hAnsi="Calibri" w:cs="Calibri"/>
          <w:sz w:val="22"/>
          <w:szCs w:val="22"/>
          <w:lang w:val="sv"/>
        </w:rPr>
        <w:t>) är en person eller en sammanslutning som köper gas och den nättjänst som erfordras för gasdistributionen huvudsakligen för sitt eget bruk. Användaren kan också vara en kund som anskaffar gas åt andra genom den anslutningspunkt som avses i hans anslutningsavtal.</w:t>
      </w:r>
    </w:p>
    <w:p w14:paraId="1F95ABCB" w14:textId="2C517774" w:rsidR="001C1912" w:rsidRPr="001A1743" w:rsidRDefault="001C1912"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konsument</w:t>
      </w:r>
      <w:r>
        <w:rPr>
          <w:rFonts w:ascii="Calibri" w:hAnsi="Calibri" w:cs="Calibri"/>
          <w:sz w:val="22"/>
          <w:szCs w:val="22"/>
          <w:lang w:val="sv"/>
        </w:rPr>
        <w:t xml:space="preserve"> avses en fysisk person som huvudsakligen köper gas för andra ändamål än för att utöva sin näring. </w:t>
      </w:r>
    </w:p>
    <w:p w14:paraId="4BEC4A23" w14:textId="24A86524" w:rsidR="001C1912" w:rsidRPr="001A1743" w:rsidRDefault="001C1912"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 xml:space="preserve">detaljförsäljare (säljare) </w:t>
      </w:r>
      <w:r>
        <w:rPr>
          <w:rFonts w:ascii="Calibri" w:hAnsi="Calibri" w:cs="Calibri"/>
          <w:sz w:val="22"/>
          <w:szCs w:val="22"/>
          <w:lang w:val="sv"/>
        </w:rPr>
        <w:t>avses ett företag, en fysisk eller juridisk person, en sammanslutning eller anläggning som säljer gas och helhetsleverans av gas och som har ingått ett ramavtal för detaljförsäljare med den systemansvariga överföringsnätsinnehavaren.</w:t>
      </w:r>
    </w:p>
    <w:p w14:paraId="42E4EDD1" w14:textId="77777777" w:rsidR="001C1912" w:rsidRPr="001A1743" w:rsidRDefault="001C1912"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Med</w:t>
      </w:r>
      <w:r>
        <w:rPr>
          <w:rFonts w:ascii="Calibri" w:hAnsi="Calibri" w:cs="Calibri"/>
          <w:i/>
          <w:iCs/>
          <w:sz w:val="22"/>
          <w:szCs w:val="22"/>
          <w:lang w:val="sv"/>
        </w:rPr>
        <w:t xml:space="preserve"> distributionsnätsinnehavare (nätinnehavare)</w:t>
      </w:r>
      <w:r>
        <w:rPr>
          <w:rFonts w:ascii="Calibri" w:hAnsi="Calibri" w:cs="Calibri"/>
          <w:sz w:val="22"/>
          <w:szCs w:val="22"/>
          <w:lang w:val="sv"/>
        </w:rPr>
        <w:t xml:space="preserve"> avses en näringsidkare som bedriver distributionsverksamhet och som ansvarar för drift, underhåll och utveckling av distributionsnätet inom sitt verksamhetsområde och dess sammanlänkningar till andra nät och för säkerställande av att nätet på lång sikt kan uppfylla rimliga krav på gasdistribution.</w:t>
      </w:r>
    </w:p>
    <w:p w14:paraId="6384413E" w14:textId="197406F3" w:rsidR="001C1912" w:rsidRPr="001A1743" w:rsidRDefault="001C1912"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avtalsparter</w:t>
      </w:r>
      <w:r>
        <w:rPr>
          <w:rFonts w:ascii="Calibri" w:hAnsi="Calibri" w:cs="Calibri"/>
          <w:sz w:val="22"/>
          <w:szCs w:val="22"/>
          <w:lang w:val="sv"/>
        </w:rPr>
        <w:t xml:space="preserve"> avses i dessa villkor nätinnehavaren och användaren.</w:t>
      </w:r>
    </w:p>
    <w:p w14:paraId="63C7CAF4" w14:textId="66122E8F" w:rsidR="001C1912" w:rsidRPr="001A1743" w:rsidRDefault="001C1912"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lastRenderedPageBreak/>
        <w:t xml:space="preserve">Med </w:t>
      </w:r>
      <w:r>
        <w:rPr>
          <w:rFonts w:ascii="Calibri" w:hAnsi="Calibri" w:cs="Calibri"/>
          <w:i/>
          <w:iCs/>
          <w:sz w:val="22"/>
          <w:szCs w:val="22"/>
          <w:lang w:val="sv"/>
        </w:rPr>
        <w:t>anslutning</w:t>
      </w:r>
      <w:r>
        <w:rPr>
          <w:rFonts w:ascii="Calibri" w:hAnsi="Calibri" w:cs="Calibri"/>
          <w:sz w:val="22"/>
          <w:szCs w:val="22"/>
          <w:lang w:val="sv"/>
        </w:rPr>
        <w:t xml:space="preserve"> avses kundens rätt att ansluta sig till gasdistributionsnätet i den anslutningspunkt som definieras i anslutningsavtalet samt gränssnittet mellan parternas gasanläggningar, där gasen överlåts från distributionsnätet till kunden.</w:t>
      </w:r>
    </w:p>
    <w:p w14:paraId="02C1CDE8" w14:textId="7061F4AC" w:rsidR="001C1912" w:rsidRPr="001A1743" w:rsidRDefault="000562E9"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i/>
          <w:iCs/>
          <w:sz w:val="22"/>
          <w:szCs w:val="22"/>
          <w:lang w:val="sv"/>
        </w:rPr>
        <w:t>Gasanslutningsavtal (anslutningsavtal)</w:t>
      </w:r>
      <w:r>
        <w:rPr>
          <w:rFonts w:ascii="Calibri" w:hAnsi="Calibri" w:cs="Calibri"/>
          <w:sz w:val="22"/>
          <w:szCs w:val="22"/>
          <w:lang w:val="sv"/>
        </w:rPr>
        <w:t xml:space="preserve"> är ett avtal mellan distributionsnätsinnehavaren och kunden om anslutning av gasdriftsstället till nätet och upprätthållande av möjligheterna att använda gas. </w:t>
      </w:r>
    </w:p>
    <w:p w14:paraId="6004F9E6" w14:textId="78F458DA" w:rsidR="001C1912" w:rsidRPr="001A1743" w:rsidRDefault="001C1912"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i/>
          <w:iCs/>
          <w:sz w:val="22"/>
          <w:szCs w:val="22"/>
          <w:lang w:val="sv"/>
        </w:rPr>
        <w:t>Gasnättjänstavtal (nätavtal)</w:t>
      </w:r>
      <w:r>
        <w:rPr>
          <w:rFonts w:ascii="Calibri" w:hAnsi="Calibri" w:cs="Calibri"/>
          <w:sz w:val="22"/>
          <w:szCs w:val="22"/>
          <w:lang w:val="sv"/>
        </w:rPr>
        <w:t xml:space="preserve"> är ett avtal mellan nätinnehavaren och gasanvändaren om försäljning och köp av gasnättjänster.</w:t>
      </w:r>
    </w:p>
    <w:p w14:paraId="39F3C460" w14:textId="3EFF6B3B" w:rsidR="001C1912" w:rsidRPr="001A1743" w:rsidRDefault="001C1912"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i/>
          <w:iCs/>
          <w:sz w:val="22"/>
          <w:szCs w:val="22"/>
          <w:lang w:val="sv"/>
        </w:rPr>
        <w:t>Gasförsäljningsavtal (försäljningsavtal)</w:t>
      </w:r>
      <w:r>
        <w:rPr>
          <w:rFonts w:ascii="Calibri" w:hAnsi="Calibri" w:cs="Calibri"/>
          <w:sz w:val="22"/>
          <w:szCs w:val="22"/>
          <w:lang w:val="sv"/>
        </w:rPr>
        <w:t xml:space="preserve"> är ett avtal mellan säljaren och användaren om försäljning och köp av gasenergi.</w:t>
      </w:r>
    </w:p>
    <w:p w14:paraId="57C15CDB" w14:textId="1BDD4660" w:rsidR="001C1912" w:rsidRPr="001A1743" w:rsidRDefault="00CA5391"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Med</w:t>
      </w:r>
      <w:r>
        <w:rPr>
          <w:rFonts w:ascii="Calibri" w:hAnsi="Calibri" w:cs="Calibri"/>
          <w:i/>
          <w:iCs/>
          <w:sz w:val="22"/>
          <w:szCs w:val="22"/>
          <w:lang w:val="sv"/>
        </w:rPr>
        <w:t xml:space="preserve"> säljarens leveransskyldighet </w:t>
      </w:r>
      <w:r>
        <w:rPr>
          <w:rFonts w:ascii="Calibri" w:hAnsi="Calibri" w:cs="Calibri"/>
          <w:sz w:val="22"/>
          <w:szCs w:val="22"/>
          <w:lang w:val="sv"/>
        </w:rPr>
        <w:t>avses att en detaljförsäljare som har betydande marknadsinflytande på en distributionsnätsinnehavares verksamhetsområde ska på verksamhetsområdet leverera naturgas till skäligt pris till slutförbrukare som i huvudsak använder naturgasen till uppvärmning av bostäder på det ställe där gasen används samt till slutförbrukare vars användningsställe har en anslutningseffekt på högst 250 kilowatt. Om det inte finns någon detaljförsäljare med betydande marknadsinflytande inom distributionsnätsinnehavarens verksamhetsområde, är den detaljförsäljare leveransskyldig som med mängden levererad naturgas som måttstock har den största marknadsandelen på det aktuella verksamhetsområdet när det gäller naturgas som anskaffas av slutförbrukare som omfattas av leveransskyldigheten.</w:t>
      </w:r>
    </w:p>
    <w:p w14:paraId="3014306D" w14:textId="4476EDC8" w:rsidR="001C1912" w:rsidRPr="001A1743" w:rsidRDefault="001C1912"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i/>
          <w:iCs/>
          <w:sz w:val="22"/>
          <w:szCs w:val="22"/>
          <w:lang w:val="sv"/>
        </w:rPr>
        <w:t>Helhetsleverans av gas</w:t>
      </w:r>
      <w:r>
        <w:rPr>
          <w:rFonts w:ascii="Calibri" w:hAnsi="Calibri" w:cs="Calibri"/>
          <w:sz w:val="22"/>
          <w:szCs w:val="22"/>
          <w:lang w:val="sv"/>
        </w:rPr>
        <w:t xml:space="preserve"> är en tjänstehelhet som omfattar både detaljförsäljning av gas (gasenergi) till användaren och den gasnättjänst som krävs för gasdistribution.</w:t>
      </w:r>
    </w:p>
    <w:p w14:paraId="11928A89" w14:textId="6D240FD5" w:rsidR="001C1912" w:rsidRPr="001A1743" w:rsidRDefault="001C1912"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Med</w:t>
      </w:r>
      <w:r>
        <w:rPr>
          <w:rFonts w:ascii="Calibri" w:hAnsi="Calibri" w:cs="Calibri"/>
          <w:i/>
          <w:iCs/>
          <w:sz w:val="22"/>
          <w:szCs w:val="22"/>
          <w:lang w:val="sv"/>
        </w:rPr>
        <w:t xml:space="preserve"> avtal om helhetsleverans av gas (helhetsleveransavtal)</w:t>
      </w:r>
      <w:r>
        <w:rPr>
          <w:rFonts w:ascii="Calibri" w:hAnsi="Calibri" w:cs="Calibri"/>
          <w:sz w:val="22"/>
          <w:szCs w:val="22"/>
          <w:lang w:val="sv"/>
        </w:rPr>
        <w:t xml:space="preserve"> avses rätten för en användare som omfattas av leveransskyldighet att med detaljförsäljaren ingå ett sådant avtal som utöver detaljförsäljning av gas även omfattar gasnättjänsten. </w:t>
      </w:r>
    </w:p>
    <w:p w14:paraId="3DD96171" w14:textId="0A259A57" w:rsidR="001C1912" w:rsidRPr="001A1743" w:rsidRDefault="00992AA7" w:rsidP="00907669">
      <w:pPr>
        <w:pStyle w:val="Leipteksti24"/>
        <w:numPr>
          <w:ilvl w:val="1"/>
          <w:numId w:val="1"/>
        </w:numPr>
        <w:tabs>
          <w:tab w:val="clear" w:pos="-1620"/>
        </w:tabs>
        <w:ind w:left="1304" w:hanging="737"/>
        <w:rPr>
          <w:rFonts w:ascii="Calibri" w:hAnsi="Calibri" w:cs="Calibri"/>
          <w:sz w:val="22"/>
          <w:szCs w:val="22"/>
          <w:lang w:val="sv-FI"/>
        </w:rPr>
      </w:pPr>
      <w:bookmarkStart w:id="4" w:name="_Hlk20295345"/>
      <w:r>
        <w:rPr>
          <w:rFonts w:ascii="Calibri" w:hAnsi="Calibri" w:cs="Calibri"/>
          <w:sz w:val="22"/>
          <w:szCs w:val="22"/>
          <w:lang w:val="sv"/>
        </w:rPr>
        <w:t>Energimyndigheten ska i naturgasnätstillståndet förordna en överföringsnätsinnehavare till systemansvarig överföringsnätsinnehavare för naturgassystemet (systemansvarig).</w:t>
      </w:r>
      <w:bookmarkEnd w:id="4"/>
    </w:p>
    <w:p w14:paraId="577C0451" w14:textId="77777777" w:rsidR="001C1912" w:rsidRPr="001A1743" w:rsidRDefault="001C1912"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Med system för centraliserat informationsutbyte avses den systemansvariga överföringsnätsinnehavarens informationssystem, där uppgifter om distributionsnätens driftsställen och inmatningspunkter för biogas samt om gasförbrukning och gasproduktion samlas och förvaras.</w:t>
      </w:r>
    </w:p>
    <w:p w14:paraId="4BBE7037" w14:textId="5F9EA663" w:rsidR="001C1912" w:rsidRPr="001A1743" w:rsidRDefault="001C1912"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Gasleveransdag är en tidsperiod som börjar kl. 7:00 och slutar följande dygn kl. 7:00, enligt officiell finsk tid.</w:t>
      </w:r>
    </w:p>
    <w:p w14:paraId="35DCE4CC" w14:textId="77777777" w:rsidR="004911F7" w:rsidRPr="001A1743" w:rsidRDefault="2D680212"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 xml:space="preserve">gasprodukt </w:t>
      </w:r>
      <w:r>
        <w:rPr>
          <w:rFonts w:ascii="Calibri" w:hAnsi="Calibri" w:cs="Calibri"/>
          <w:sz w:val="22"/>
          <w:szCs w:val="22"/>
          <w:lang w:val="sv"/>
        </w:rPr>
        <w:t xml:space="preserve">avses i dessa villkor en definition av den tjänstehelhet som används vid gasförsäljningen. I definitionen ingår också uppgifter om de avgifter säljaren debiterar. Gasprodukten kan också kallas tariff. </w:t>
      </w:r>
      <w:r>
        <w:rPr>
          <w:rFonts w:ascii="Calibri" w:hAnsi="Calibri" w:cs="Calibri"/>
          <w:i/>
          <w:iCs/>
          <w:sz w:val="22"/>
          <w:szCs w:val="22"/>
          <w:lang w:val="sv"/>
        </w:rPr>
        <w:t>Produktprislistan</w:t>
      </w:r>
      <w:r>
        <w:rPr>
          <w:rFonts w:ascii="Calibri" w:hAnsi="Calibri" w:cs="Calibri"/>
          <w:sz w:val="22"/>
          <w:szCs w:val="22"/>
          <w:lang w:val="sv"/>
        </w:rPr>
        <w:t xml:space="preserve"> upptar de gasprodukter som säljaren tillhandahåller. Produktprislistan och en eventuell </w:t>
      </w:r>
      <w:r>
        <w:rPr>
          <w:rFonts w:ascii="Calibri" w:hAnsi="Calibri" w:cs="Calibri"/>
          <w:i/>
          <w:iCs/>
          <w:sz w:val="22"/>
          <w:szCs w:val="22"/>
          <w:lang w:val="sv"/>
        </w:rPr>
        <w:t>tjänsteprislista (prislistorna)</w:t>
      </w:r>
      <w:r>
        <w:rPr>
          <w:rFonts w:ascii="Calibri" w:hAnsi="Calibri" w:cs="Calibri"/>
          <w:sz w:val="22"/>
          <w:szCs w:val="22"/>
          <w:lang w:val="sv"/>
        </w:rPr>
        <w:t xml:space="preserve"> utgör en del av försäljningsavtalet. Avtalsparterna kan även särskilt avtala om grunden för prissättningen av gasförsäljningen, varvid produktprislistan inte bifogas till försäljningsavtalet (produktprislistan blir då inte en del av försäljningsavtalet).</w:t>
      </w:r>
    </w:p>
    <w:p w14:paraId="76422F16" w14:textId="77777777" w:rsidR="001C1912" w:rsidRPr="001A1743" w:rsidRDefault="001C1912"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Med att sända ett meddelande, till exempel bekräftelse, faktura, meddelande om prisändring eller annat meddelande avses i dessa villkor också elektronisk utsändning av </w:t>
      </w:r>
      <w:r>
        <w:rPr>
          <w:rFonts w:ascii="Calibri" w:hAnsi="Calibri" w:cs="Calibri"/>
          <w:sz w:val="22"/>
          <w:szCs w:val="22"/>
          <w:lang w:val="sv"/>
        </w:rPr>
        <w:lastRenderedPageBreak/>
        <w:t>meddelanden med samma innehåll. Användarens adress eller faktureringsadress kan även vara exempelvis en e-postadress eller annan motsvarande individuell adress som användaren uppger. Att sända elektroniska meddelanden förutsätter att avtalsparterna har kommit överens om det. Med en användare som inte är en konsument kan det särskilt överenskommas att meddelande om ändring av pris eller andra avtalsvillkor kan läggas ut på internet på en i förväg bestämd adress. Användaren ska också på i förväg överenskommet sätt, t.ex. via e-post eller med ett textmeddelande, få veta att meddelandet finns på internet.</w:t>
      </w:r>
    </w:p>
    <w:p w14:paraId="64155C0C" w14:textId="77777777" w:rsidR="001C1912" w:rsidRPr="001A1743" w:rsidRDefault="001C1912"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Med ett </w:t>
      </w:r>
      <w:r>
        <w:rPr>
          <w:rFonts w:ascii="Calibri" w:hAnsi="Calibri" w:cs="Calibri"/>
          <w:i/>
          <w:iCs/>
          <w:sz w:val="22"/>
          <w:szCs w:val="22"/>
          <w:lang w:val="sv"/>
        </w:rPr>
        <w:t xml:space="preserve">medel för distanskommunikation </w:t>
      </w:r>
      <w:r>
        <w:rPr>
          <w:rFonts w:ascii="Calibri" w:hAnsi="Calibri" w:cs="Calibri"/>
          <w:sz w:val="22"/>
          <w:szCs w:val="22"/>
          <w:lang w:val="sv"/>
        </w:rPr>
        <w:t xml:space="preserve">avses telefon, post, television, datanät eller något annat medel som kan användas för ingående av avtal utan att parterna är samtidigt närvarande. </w:t>
      </w:r>
    </w:p>
    <w:p w14:paraId="22791858" w14:textId="48D3F59A" w:rsidR="001C1912" w:rsidRPr="001A1743" w:rsidRDefault="001C1912"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De centrala bestämmelserna om gasmarknaden och nättjänsten finns i naturgasmarknadslagen, lagen om tillsyn över el- och naturgasmarknaden och förordningar som utfärdats med stöd av dem.</w:t>
      </w:r>
    </w:p>
    <w:p w14:paraId="0681E8F2" w14:textId="77777777" w:rsidR="00907669" w:rsidRPr="001A1743" w:rsidRDefault="00907669" w:rsidP="00907669">
      <w:pPr>
        <w:pStyle w:val="Leipteksti24"/>
        <w:numPr>
          <w:ilvl w:val="0"/>
          <w:numId w:val="0"/>
        </w:numPr>
        <w:tabs>
          <w:tab w:val="clear" w:pos="-1620"/>
        </w:tabs>
        <w:spacing w:before="0" w:after="0"/>
        <w:outlineLvl w:val="1"/>
        <w:rPr>
          <w:rFonts w:ascii="Calibri" w:hAnsi="Calibri" w:cs="Calibri"/>
          <w:sz w:val="22"/>
          <w:szCs w:val="22"/>
          <w:lang w:val="sv-FI"/>
        </w:rPr>
      </w:pPr>
    </w:p>
    <w:p w14:paraId="1AA7B599" w14:textId="5649CD66" w:rsidR="00FE01D7" w:rsidRPr="001A1743" w:rsidRDefault="00FE01D7" w:rsidP="007D3745">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rPr>
          <w:rFonts w:asciiTheme="majorHAnsi" w:hAnsiTheme="majorHAnsi" w:cs="Calibri"/>
          <w:szCs w:val="28"/>
          <w:lang w:val="sv-FI"/>
        </w:rPr>
      </w:pPr>
      <w:bookmarkStart w:id="5" w:name="_Toc27643655"/>
      <w:r>
        <w:rPr>
          <w:rFonts w:asciiTheme="majorHAnsi" w:hAnsiTheme="majorHAnsi" w:cs="Calibri"/>
          <w:szCs w:val="28"/>
          <w:lang w:val="sv"/>
        </w:rPr>
        <w:t>Ingående av gasförsäljningsavtal och övriga nödvändiga avtal</w:t>
      </w:r>
      <w:bookmarkEnd w:id="5"/>
    </w:p>
    <w:p w14:paraId="2EEE68F4"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Försäljningsavtalet ingås mellan avtalsparterna antingen tills vidare eller för viss tid.</w:t>
      </w:r>
    </w:p>
    <w:p w14:paraId="0B3D1F3A"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Försäljningsavtalet kan ingås, då gasdriftsstället i fråga har ett giltigt gasanslutningsavtal.</w:t>
      </w:r>
    </w:p>
    <w:p w14:paraId="42E3AB98" w14:textId="6462194D"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För att gasförsäljningen ska kunna påbörjas krävs förutom ett giltigt gasanslutningsavtal även ett giltigt gasnätavtal samt att de skyldigheter som nämns i dessa avtal är fullgjorda och att de i avtalen ställda tekniska kraven på nättjänsten till driftsstället är uppfyllda. </w:t>
      </w:r>
    </w:p>
    <w:p w14:paraId="333AB08C" w14:textId="22718A0C"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En användare som omfattas av försäljarens leveransskyldighet har rätt att med säljaren ingå ett helhetsleveransavtal, som utöver försäljning även omfattar distributionsnättjänsten. På basis av ett sådant helhetsleveransavtal ansvarar säljaren gentemot användaren även för nättjänsterna, som säljaren och nätinnehavaren kommer överens om sinsemellan. På helhetsleveransavtal tillämpas gasförsäljningsvillkoren och gasnättjänstvillkoren. I ifrågavarande villkor tillämpas på helhetsleveransavtal vad som sägs om försäljningsavtal och nätavtal. </w:t>
      </w:r>
    </w:p>
    <w:p w14:paraId="6D93CBE4"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En försäljare som är på väg att påbörja gasförsäljning till ett dygnsavläst driftsställe i distributionsnätet ska sända ett meddelande om påbörjande av försäljningsavtal till den systemansvariga överföringsnätsinnehavaren och till distributionsnätsinnehavaren samt en bekräftelse till användaren om att ett nytt försäljningsavtal börjat, så snart som möjligt efter att säljaren ingått ett försäljningsavtal med användaren av distributionsnätet.</w:t>
      </w:r>
    </w:p>
    <w:p w14:paraId="5A01CC48"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Meddelandet om påbörjande av ett nytt försäljningsavtal ska sändas tidigast 90 dygn och senast 16 dygn före den gasleveransdag då säljarens gasförsäljning till driftsstället börjar enligt avtalet.</w:t>
      </w:r>
    </w:p>
    <w:p w14:paraId="1206DA13"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bookmarkStart w:id="6" w:name="_Ref332266402"/>
      <w:r>
        <w:rPr>
          <w:rFonts w:ascii="Calibri" w:hAnsi="Calibri" w:cs="Calibri"/>
          <w:sz w:val="22"/>
          <w:szCs w:val="22"/>
          <w:lang w:val="sv"/>
        </w:rPr>
        <w:t xml:space="preserve">En konsument har rätt att frånträda ett hemförsäljnings- eller distansförsäljningsavtal genom att meddela näringsidkaren detta på ångerblanketten eller på något annat entydigt sätt senast 14 dagar efter att avtalet ingicks. Övriga användare har rätt att frånträda avtalet senast två vardagar innan gasförsäljningen börjar. </w:t>
      </w:r>
    </w:p>
    <w:p w14:paraId="2BE8BE4E"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Mellan säljaren och användaren ingås ett försäljningsavtal. Avtalet kan ingås skriftligen, muntligen eller i elektronisk form.</w:t>
      </w:r>
    </w:p>
    <w:p w14:paraId="1AD9810B" w14:textId="12345301" w:rsidR="00FE01D7" w:rsidRPr="001A1743" w:rsidRDefault="00FE01D7" w:rsidP="00907669">
      <w:pPr>
        <w:pStyle w:val="Leipteksti24"/>
        <w:numPr>
          <w:ilvl w:val="2"/>
          <w:numId w:val="1"/>
        </w:numPr>
        <w:tabs>
          <w:tab w:val="clear" w:pos="-1620"/>
        </w:tabs>
        <w:ind w:left="2609" w:hanging="1191"/>
        <w:rPr>
          <w:rFonts w:ascii="Calibri" w:hAnsi="Calibri" w:cs="Calibri"/>
          <w:sz w:val="22"/>
          <w:szCs w:val="22"/>
          <w:lang w:val="sv-FI"/>
        </w:rPr>
      </w:pPr>
      <w:bookmarkStart w:id="7" w:name="_Ref23765032"/>
      <w:r>
        <w:rPr>
          <w:rFonts w:ascii="Calibri" w:hAnsi="Calibri" w:cs="Calibri"/>
          <w:sz w:val="22"/>
          <w:szCs w:val="22"/>
          <w:lang w:val="sv"/>
        </w:rPr>
        <w:lastRenderedPageBreak/>
        <w:t>Försäljningsavtalet ska ingås skriftligen om någondera avtalsparten yrkar på det. Till försäljningsavtalet ska då bifogas prislistor samt en länk till en sparbar version av dessa villkor. De allmänna avtalsvillkoren ska på kundens begäran kostnadsfritt skickas till kunden skriftligen med anslutningsavtalet. I försäljningsavtalet ska anges den nätinnehavare till vilken felanmälningar och övriga anmälningar som gäller nättjänsten ska göras samt de särskilda krav som ställs på gasmätningen, om försäljningsavtalet enligt naturgasmarknadslagen förutsätter sådana. Tillsammans med bekräftelsen ska en konsument ges information om energiförbrukarens kontrollista samt Energimyndighetens webbadress där energiförbrukarens kontrollista finns tillgänglig.</w:t>
      </w:r>
      <w:bookmarkEnd w:id="7"/>
    </w:p>
    <w:p w14:paraId="25383A25" w14:textId="03508E32" w:rsidR="00FE01D7" w:rsidRPr="001A1743" w:rsidRDefault="00FE01D7" w:rsidP="00907669">
      <w:pPr>
        <w:pStyle w:val="Leipteksti24"/>
        <w:numPr>
          <w:ilvl w:val="2"/>
          <w:numId w:val="1"/>
        </w:numPr>
        <w:tabs>
          <w:tab w:val="clear" w:pos="-1620"/>
        </w:tabs>
        <w:ind w:left="2609" w:hanging="1191"/>
        <w:rPr>
          <w:rFonts w:ascii="Calibri" w:hAnsi="Calibri" w:cs="Calibri"/>
          <w:sz w:val="22"/>
          <w:szCs w:val="22"/>
          <w:lang w:val="sv-FI"/>
        </w:rPr>
      </w:pPr>
      <w:r>
        <w:rPr>
          <w:rFonts w:ascii="Calibri" w:hAnsi="Calibri" w:cs="Calibri"/>
          <w:sz w:val="22"/>
          <w:szCs w:val="22"/>
          <w:lang w:val="sv"/>
        </w:rPr>
        <w:t>Ett elektroniskt avtal är bindande, om det är uppgjort på sådant sätt som allmänt krävs av elektroniska avtal.</w:t>
      </w:r>
    </w:p>
    <w:p w14:paraId="5D7D4D73" w14:textId="27DF06EE" w:rsidR="003D403F" w:rsidRPr="001A1743" w:rsidRDefault="003D403F" w:rsidP="00907669">
      <w:pPr>
        <w:pStyle w:val="Leipteksti24"/>
        <w:numPr>
          <w:ilvl w:val="2"/>
          <w:numId w:val="1"/>
        </w:numPr>
        <w:tabs>
          <w:tab w:val="clear" w:pos="-1620"/>
        </w:tabs>
        <w:ind w:left="2609" w:hanging="1191"/>
        <w:rPr>
          <w:rFonts w:ascii="Calibri" w:hAnsi="Calibri" w:cs="Calibri"/>
          <w:sz w:val="22"/>
          <w:szCs w:val="22"/>
          <w:lang w:val="sv-FI"/>
        </w:rPr>
      </w:pPr>
      <w:r>
        <w:rPr>
          <w:rFonts w:ascii="Calibri" w:hAnsi="Calibri" w:cs="Calibri"/>
          <w:sz w:val="22"/>
          <w:szCs w:val="22"/>
          <w:lang w:val="sv"/>
        </w:rPr>
        <w:t>Om försäljningsavtalet inte ingåtts skriftligen</w:t>
      </w:r>
      <w:r w:rsidR="00C87E5C">
        <w:rPr>
          <w:rFonts w:ascii="Calibri" w:hAnsi="Calibri" w:cs="Calibri"/>
          <w:sz w:val="22"/>
          <w:szCs w:val="22"/>
          <w:lang w:val="sv"/>
        </w:rPr>
        <w:t>,</w:t>
      </w:r>
      <w:r>
        <w:rPr>
          <w:rFonts w:ascii="Calibri" w:hAnsi="Calibri" w:cs="Calibri"/>
          <w:sz w:val="22"/>
          <w:szCs w:val="22"/>
          <w:lang w:val="sv"/>
        </w:rPr>
        <w:t xml:space="preserve"> ska säljaren inom den tid som föreskrivs i naturgasmarknadslagen sända användaren en avtalsbekräftelse (bekräftelse) till den faktureringsadress som denna har uppgett eller till någon annan särskilt överenskommen  adress.  </w:t>
      </w:r>
    </w:p>
    <w:p w14:paraId="791B6B4A" w14:textId="65A3F1BA" w:rsidR="00C533D0" w:rsidRPr="001A1743" w:rsidRDefault="00C533D0" w:rsidP="00907669">
      <w:pPr>
        <w:pStyle w:val="Leipteksti24"/>
        <w:numPr>
          <w:ilvl w:val="2"/>
          <w:numId w:val="1"/>
        </w:numPr>
        <w:tabs>
          <w:tab w:val="clear" w:pos="-1620"/>
        </w:tabs>
        <w:ind w:left="2609" w:hanging="1191"/>
        <w:rPr>
          <w:rFonts w:ascii="Calibri" w:hAnsi="Calibri" w:cs="Calibri"/>
          <w:sz w:val="22"/>
          <w:szCs w:val="22"/>
          <w:lang w:val="sv-FI"/>
        </w:rPr>
      </w:pPr>
      <w:r>
        <w:rPr>
          <w:rFonts w:ascii="Calibri" w:hAnsi="Calibri" w:cs="Calibri"/>
          <w:sz w:val="22"/>
          <w:szCs w:val="22"/>
          <w:lang w:val="sv"/>
        </w:rPr>
        <w:t>Bekräftelsen anger tidpunkten då gasförsäljningsavtalet träder i kraft och innehåller gasförsäljningsavtalets individuella villkor, prislistor och en redogörelse för användarens anmärkningsfrist och en länk till en sparbar version av dessa villkor. De allmänna avtalsvillkoren ska på kundens begäran kostnadsfritt skickas till kunden skriftligen med bekräftelsen. Tillsammans med bekräftelsen ska en konsument ges information om energiförbrukarens kontrollista samt Energimyndighetens webbadress där energiförbrukarens kontrollista finns tillgänglig.</w:t>
      </w:r>
    </w:p>
    <w:p w14:paraId="2BEFEB86" w14:textId="31FD2621" w:rsidR="00C533D0" w:rsidRPr="001A1743" w:rsidRDefault="00C533D0" w:rsidP="00907669">
      <w:pPr>
        <w:pStyle w:val="Leipteksti24"/>
        <w:numPr>
          <w:ilvl w:val="2"/>
          <w:numId w:val="1"/>
        </w:numPr>
        <w:tabs>
          <w:tab w:val="clear" w:pos="-1620"/>
        </w:tabs>
        <w:ind w:left="2609" w:hanging="1191"/>
        <w:rPr>
          <w:rFonts w:ascii="Calibri" w:hAnsi="Calibri" w:cs="Calibri"/>
          <w:sz w:val="22"/>
          <w:szCs w:val="22"/>
          <w:lang w:val="sv-FI"/>
        </w:rPr>
      </w:pPr>
      <w:r>
        <w:rPr>
          <w:rFonts w:ascii="Calibri" w:hAnsi="Calibri" w:cs="Calibri"/>
          <w:sz w:val="22"/>
          <w:szCs w:val="22"/>
          <w:lang w:val="sv"/>
        </w:rPr>
        <w:t xml:space="preserve">Om försäljningsavtalet ingås med en konsument med hjälp av ett medel för distanskommunikation, ska säljarens bekräftelse utöver vad som anges i punkt </w:t>
      </w:r>
      <w:r>
        <w:rPr>
          <w:rFonts w:ascii="Calibri" w:hAnsi="Calibri" w:cs="Calibri"/>
          <w:sz w:val="22"/>
          <w:szCs w:val="22"/>
          <w:lang w:val="sv"/>
        </w:rPr>
        <w:fldChar w:fldCharType="begin"/>
      </w:r>
      <w:r>
        <w:rPr>
          <w:rFonts w:ascii="Calibri" w:hAnsi="Calibri" w:cs="Calibri"/>
          <w:sz w:val="22"/>
          <w:szCs w:val="22"/>
          <w:lang w:val="sv"/>
        </w:rPr>
        <w:instrText xml:space="preserve"> REF _Ref23765032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3.8.1</w:t>
      </w:r>
      <w:r>
        <w:rPr>
          <w:rFonts w:ascii="Calibri" w:hAnsi="Calibri" w:cs="Calibri"/>
          <w:sz w:val="22"/>
          <w:szCs w:val="22"/>
          <w:lang w:val="sv"/>
        </w:rPr>
        <w:fldChar w:fldCharType="end"/>
      </w:r>
      <w:r>
        <w:rPr>
          <w:rFonts w:ascii="Calibri" w:hAnsi="Calibri" w:cs="Calibri"/>
          <w:sz w:val="22"/>
          <w:szCs w:val="22"/>
          <w:lang w:val="sv"/>
        </w:rPr>
        <w:t xml:space="preserve"> i tillämpliga delar även innehålla övrig information enligt 6 kap. 9 § i konsumentskyddslagen, inbegripet leverans- och övriga kostnader som inte ingår i totalpriset, villkor för betalning, information om konsumentens rätt att frånträda avtalet samt ångerblankett och -anvisning, om säljaren inte har lämnat dessa till konsumenten i varaktig form redan tidigare.</w:t>
      </w:r>
    </w:p>
    <w:p w14:paraId="2E2B2E0D" w14:textId="77777777" w:rsidR="00F87D4E" w:rsidRPr="001A1743" w:rsidRDefault="00F87D4E" w:rsidP="00907669">
      <w:pPr>
        <w:pStyle w:val="Leipteksti24"/>
        <w:numPr>
          <w:ilvl w:val="2"/>
          <w:numId w:val="1"/>
        </w:numPr>
        <w:tabs>
          <w:tab w:val="clear" w:pos="-1620"/>
        </w:tabs>
        <w:ind w:left="2609" w:hanging="1191"/>
        <w:rPr>
          <w:rFonts w:ascii="Calibri" w:hAnsi="Calibri" w:cs="Calibri"/>
          <w:sz w:val="22"/>
          <w:szCs w:val="22"/>
          <w:lang w:val="sv-FI"/>
        </w:rPr>
      </w:pPr>
      <w:r>
        <w:rPr>
          <w:rFonts w:ascii="Calibri" w:hAnsi="Calibri" w:cs="Calibri"/>
          <w:sz w:val="22"/>
          <w:szCs w:val="22"/>
          <w:lang w:val="sv"/>
        </w:rPr>
        <w:t xml:space="preserve">Ett försäljningsavtal som inte ingåtts skriftligen har trätt i kraft och fortgår med de villkor som nämns i bekräftelsen, förutom i följande fall: </w:t>
      </w:r>
    </w:p>
    <w:p w14:paraId="49926F4E" w14:textId="455B120C" w:rsidR="00F87D4E" w:rsidRPr="001A1743" w:rsidRDefault="00F87D4E" w:rsidP="00907669">
      <w:pPr>
        <w:pStyle w:val="Leipteksti24"/>
        <w:numPr>
          <w:ilvl w:val="4"/>
          <w:numId w:val="19"/>
        </w:numPr>
        <w:ind w:left="2609" w:hanging="1191"/>
        <w:rPr>
          <w:rFonts w:ascii="Calibri" w:hAnsi="Calibri" w:cs="Calibri"/>
          <w:sz w:val="22"/>
          <w:szCs w:val="22"/>
          <w:lang w:val="sv-FI"/>
        </w:rPr>
      </w:pPr>
      <w:r>
        <w:rPr>
          <w:rFonts w:ascii="Calibri" w:hAnsi="Calibri" w:cs="Calibri"/>
          <w:sz w:val="22"/>
          <w:szCs w:val="22"/>
          <w:lang w:val="sv"/>
        </w:rPr>
        <w:t>Användaren meddelar säljaren inom 21 dagar efter att bekräftelsen har sänts eller inom en i bekräftelsen nämnd tidsfrist, som är minst 21 dagar efter sändningen, att han anser de i bekräftelsen nämnda eller förklarade villkoren avtalsstridiga. Under tiden mellan avtalets ingående och användarens meddelande tillämpas avtalsvillkoren i bekräftelsen, om det inte visas att något annat har avtalats; eller</w:t>
      </w:r>
    </w:p>
    <w:p w14:paraId="11C4E139" w14:textId="51D03465" w:rsidR="00C533D0" w:rsidRPr="001A1743" w:rsidRDefault="00F87D4E" w:rsidP="00907669">
      <w:pPr>
        <w:pStyle w:val="Leipteksti24"/>
        <w:numPr>
          <w:ilvl w:val="4"/>
          <w:numId w:val="19"/>
        </w:numPr>
        <w:tabs>
          <w:tab w:val="clear" w:pos="-1620"/>
        </w:tabs>
        <w:ind w:left="2609" w:hanging="1191"/>
        <w:rPr>
          <w:rFonts w:ascii="Calibri" w:hAnsi="Calibri" w:cs="Calibri"/>
          <w:sz w:val="22"/>
          <w:szCs w:val="22"/>
          <w:lang w:val="sv-FI"/>
        </w:rPr>
      </w:pPr>
      <w:r>
        <w:rPr>
          <w:rFonts w:ascii="Calibri" w:hAnsi="Calibri" w:cs="Calibri"/>
          <w:sz w:val="22"/>
          <w:szCs w:val="22"/>
          <w:lang w:val="sv"/>
        </w:rPr>
        <w:tab/>
        <w:t xml:space="preserve">En konsument frånträder avtalet i enlighet med ångerrätten i samband med distans- och hemförsäljning enligt konsumentskyddslagen. Om konsumenten har använt gas när avtalet återgår, ska han betala en skälig ersättning till säljaren för den gas han använt. Ersättningen bestäms enligt de avtalsvillkor som anges i bekräftelsen, om det inte visas att något annat har avtalats. </w:t>
      </w:r>
    </w:p>
    <w:bookmarkEnd w:id="6"/>
    <w:p w14:paraId="49011209" w14:textId="1B43238A"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lastRenderedPageBreak/>
        <w:t xml:space="preserve">Efter att ha fått meddelande om det nya försäljningsavtalet kontrollerar den systemansvariga överföringsnätsinnehavaren i informationsutbytessystemet att villkoren i punkt </w:t>
      </w:r>
      <w:r>
        <w:rPr>
          <w:rFonts w:ascii="Calibri" w:hAnsi="Calibri" w:cs="Calibri"/>
          <w:sz w:val="22"/>
          <w:szCs w:val="22"/>
          <w:lang w:val="sv"/>
        </w:rPr>
        <w:fldChar w:fldCharType="begin"/>
      </w:r>
      <w:r>
        <w:rPr>
          <w:rFonts w:ascii="Calibri" w:hAnsi="Calibri" w:cs="Calibri"/>
          <w:sz w:val="22"/>
          <w:szCs w:val="22"/>
          <w:lang w:val="sv"/>
        </w:rPr>
        <w:instrText xml:space="preserve"> REF _Ref17873623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3.10</w:t>
      </w:r>
      <w:r>
        <w:rPr>
          <w:rFonts w:ascii="Calibri" w:hAnsi="Calibri" w:cs="Calibri"/>
          <w:sz w:val="22"/>
          <w:szCs w:val="22"/>
          <w:lang w:val="sv"/>
        </w:rPr>
        <w:fldChar w:fldCharType="end"/>
      </w:r>
      <w:r>
        <w:rPr>
          <w:rFonts w:ascii="Calibri" w:hAnsi="Calibri" w:cs="Calibri"/>
          <w:sz w:val="22"/>
          <w:szCs w:val="22"/>
          <w:lang w:val="sv"/>
        </w:rPr>
        <w:t xml:space="preserve"> uppfylls och meddelar nätinnehavaren senast följande dag huruvida ett nytt försäljningsavtal påbörjas och meddelar den nuvarande säljaren att det nuvarande försäljningsavtalet avslutas. Om driftsstället inte har en dygnsavläst mätare med fjärravläsning, har användaren separata avtal med säljaren och nätinnehavaren, och då tillämpas inte ovan nämnda punkt.  </w:t>
      </w:r>
    </w:p>
    <w:p w14:paraId="491DC44D" w14:textId="79B729EA"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bookmarkStart w:id="8" w:name="_Ref17873623"/>
      <w:r>
        <w:rPr>
          <w:rFonts w:ascii="Calibri" w:hAnsi="Calibri" w:cs="Calibri"/>
          <w:sz w:val="22"/>
          <w:szCs w:val="22"/>
          <w:lang w:val="sv"/>
        </w:rPr>
        <w:t>Ett villkor för att ett nytt försäljningsavtal ska börja är att säljaren och användaren har ingått ett försäljningsavtal med varandra för användarens driftsställe. Nätinnehavaren förkastar säljarens meddelande om påbörjande av ett nytt försäljningsavtal, om det på driftsstället har installerats dygnsavläst mätapparatur och:</w:t>
      </w:r>
      <w:bookmarkEnd w:id="8"/>
    </w:p>
    <w:p w14:paraId="1600A06E" w14:textId="77777777" w:rsidR="00FE01D7" w:rsidRPr="001A1743" w:rsidRDefault="00FE01D7" w:rsidP="00907669">
      <w:pPr>
        <w:pStyle w:val="Leipteksti24"/>
        <w:numPr>
          <w:ilvl w:val="0"/>
          <w:numId w:val="6"/>
        </w:numPr>
        <w:tabs>
          <w:tab w:val="clear" w:pos="-1620"/>
        </w:tabs>
        <w:ind w:left="2609" w:hanging="1191"/>
        <w:rPr>
          <w:rFonts w:ascii="Calibri" w:hAnsi="Calibri" w:cs="Calibri"/>
          <w:sz w:val="22"/>
          <w:szCs w:val="22"/>
          <w:lang w:val="sv-FI"/>
        </w:rPr>
      </w:pPr>
      <w:r>
        <w:rPr>
          <w:rFonts w:ascii="Calibri" w:hAnsi="Calibri" w:cs="Calibri"/>
          <w:sz w:val="22"/>
          <w:szCs w:val="22"/>
          <w:lang w:val="sv"/>
        </w:rPr>
        <w:t>nätinnehavaren redan har godkänt att en annan säljares försäljningsavtal påbörjas för samma driftsställe med samma startdatum;</w:t>
      </w:r>
    </w:p>
    <w:p w14:paraId="3117695D" w14:textId="77777777" w:rsidR="00FE01D7" w:rsidRPr="001A1743" w:rsidRDefault="00FE01D7" w:rsidP="00907669">
      <w:pPr>
        <w:pStyle w:val="Leipteksti24"/>
        <w:numPr>
          <w:ilvl w:val="0"/>
          <w:numId w:val="6"/>
        </w:numPr>
        <w:tabs>
          <w:tab w:val="clear" w:pos="-1620"/>
        </w:tabs>
        <w:ind w:left="2609" w:hanging="1191"/>
        <w:rPr>
          <w:rFonts w:ascii="Calibri" w:hAnsi="Calibri" w:cs="Calibri"/>
          <w:sz w:val="22"/>
          <w:szCs w:val="22"/>
          <w:lang w:val="sv-FI"/>
        </w:rPr>
      </w:pPr>
      <w:r>
        <w:rPr>
          <w:rFonts w:ascii="Calibri" w:hAnsi="Calibri" w:cs="Calibri"/>
          <w:sz w:val="22"/>
          <w:szCs w:val="22"/>
          <w:lang w:val="sv"/>
        </w:rPr>
        <w:t>driftsstället inte existerar eller inte är ett dygnsavläst driftsställe;</w:t>
      </w:r>
    </w:p>
    <w:p w14:paraId="6A31E09C" w14:textId="77777777" w:rsidR="00FE01D7" w:rsidRPr="001A1743" w:rsidRDefault="00FE01D7" w:rsidP="00907669">
      <w:pPr>
        <w:pStyle w:val="Leipteksti24"/>
        <w:numPr>
          <w:ilvl w:val="0"/>
          <w:numId w:val="6"/>
        </w:numPr>
        <w:tabs>
          <w:tab w:val="clear" w:pos="-1620"/>
        </w:tabs>
        <w:ind w:left="2609" w:hanging="1191"/>
        <w:rPr>
          <w:rFonts w:ascii="Calibri" w:hAnsi="Calibri" w:cs="Calibri"/>
          <w:sz w:val="22"/>
          <w:szCs w:val="22"/>
          <w:lang w:val="sv-FI"/>
        </w:rPr>
      </w:pPr>
      <w:r>
        <w:rPr>
          <w:rFonts w:ascii="Calibri" w:hAnsi="Calibri" w:cs="Calibri"/>
          <w:sz w:val="22"/>
          <w:szCs w:val="22"/>
          <w:lang w:val="sv"/>
        </w:rPr>
        <w:t>säljaren inte uppfyller de villkor som ställs på säljare;</w:t>
      </w:r>
    </w:p>
    <w:p w14:paraId="1682B9FC" w14:textId="77777777" w:rsidR="00FE01D7" w:rsidRPr="001A1743" w:rsidRDefault="00FE01D7" w:rsidP="00907669">
      <w:pPr>
        <w:pStyle w:val="Leipteksti24"/>
        <w:numPr>
          <w:ilvl w:val="0"/>
          <w:numId w:val="6"/>
        </w:numPr>
        <w:tabs>
          <w:tab w:val="clear" w:pos="-1620"/>
        </w:tabs>
        <w:ind w:left="2609" w:hanging="1191"/>
        <w:rPr>
          <w:rFonts w:ascii="Calibri" w:hAnsi="Calibri" w:cs="Calibri"/>
          <w:sz w:val="22"/>
          <w:szCs w:val="22"/>
          <w:lang w:val="sv-FI"/>
        </w:rPr>
      </w:pPr>
      <w:r>
        <w:rPr>
          <w:rFonts w:ascii="Calibri" w:hAnsi="Calibri" w:cs="Calibri"/>
          <w:sz w:val="22"/>
          <w:szCs w:val="22"/>
          <w:lang w:val="sv"/>
        </w:rPr>
        <w:t xml:space="preserve">meddelandet om påbörjande av ett nytt försäljningsavtal är felaktigt, ofullständigt eller inte uppfyller den tidsfrist som krävs för meddelandet; eller </w:t>
      </w:r>
    </w:p>
    <w:p w14:paraId="3025AEF2" w14:textId="77777777" w:rsidR="00FE01D7" w:rsidRPr="001A1743" w:rsidRDefault="00FE01D7" w:rsidP="00907669">
      <w:pPr>
        <w:pStyle w:val="Leipteksti24"/>
        <w:numPr>
          <w:ilvl w:val="0"/>
          <w:numId w:val="6"/>
        </w:numPr>
        <w:tabs>
          <w:tab w:val="clear" w:pos="-1620"/>
        </w:tabs>
        <w:ind w:left="2609" w:hanging="1191"/>
        <w:rPr>
          <w:rFonts w:ascii="Calibri" w:hAnsi="Calibri" w:cs="Calibri"/>
          <w:sz w:val="22"/>
          <w:szCs w:val="22"/>
          <w:lang w:val="sv-FI"/>
        </w:rPr>
      </w:pPr>
      <w:r>
        <w:rPr>
          <w:rFonts w:ascii="Calibri" w:hAnsi="Calibri" w:cs="Calibri"/>
          <w:sz w:val="22"/>
          <w:szCs w:val="22"/>
          <w:lang w:val="sv"/>
        </w:rPr>
        <w:t>driftsstället har ett tidsbundet försäljningsavtal som är i kraft eller meddelats träda i kraft och som uppfyller villkoren, och som upphör först den dag det nya försäljningsavtalet börjar eller senare.</w:t>
      </w:r>
    </w:p>
    <w:p w14:paraId="30B54ECF"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Ett meddelande om påbörjande av ett nytt försäljningsavtal tolkas som ett meddelande om uppsägning av användarens nuvarande försäljningsavtal. </w:t>
      </w:r>
    </w:p>
    <w:p w14:paraId="369D2D52" w14:textId="5D4B0941"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sz w:val="22"/>
          <w:szCs w:val="22"/>
          <w:lang w:val="sv"/>
        </w:rPr>
        <w:t xml:space="preserve">Om nätinnehavaren inte kan godkänna meddelandet om påbörjande av ett nytt försäljningsavtal på basis av punkt </w:t>
      </w:r>
      <w:r>
        <w:rPr>
          <w:rFonts w:ascii="Calibri" w:hAnsi="Calibri"/>
          <w:lang w:val="sv"/>
        </w:rPr>
        <w:fldChar w:fldCharType="begin"/>
      </w:r>
      <w:r>
        <w:rPr>
          <w:rFonts w:ascii="Calibri" w:hAnsi="Calibri"/>
          <w:sz w:val="22"/>
          <w:szCs w:val="22"/>
          <w:lang w:val="sv"/>
        </w:rPr>
        <w:instrText xml:space="preserve"> REF _Ref17873623 \r \h </w:instrText>
      </w:r>
      <w:r>
        <w:rPr>
          <w:rFonts w:ascii="Calibri" w:hAnsi="Calibri"/>
          <w:lang w:val="sv"/>
        </w:rPr>
      </w:r>
      <w:r>
        <w:rPr>
          <w:rFonts w:ascii="Calibri" w:hAnsi="Calibri"/>
          <w:sz w:val="22"/>
          <w:szCs w:val="22"/>
          <w:lang w:val="sv"/>
        </w:rPr>
        <w:fldChar w:fldCharType="separate"/>
      </w:r>
      <w:r>
        <w:rPr>
          <w:rFonts w:ascii="Calibri" w:hAnsi="Calibri"/>
          <w:sz w:val="22"/>
          <w:szCs w:val="22"/>
          <w:lang w:val="sv"/>
        </w:rPr>
        <w:t>3.10</w:t>
      </w:r>
      <w:r>
        <w:rPr>
          <w:rFonts w:ascii="Calibri" w:hAnsi="Calibri"/>
          <w:lang w:val="sv"/>
        </w:rPr>
        <w:fldChar w:fldCharType="end"/>
      </w:r>
      <w:r>
        <w:rPr>
          <w:rFonts w:ascii="Calibri" w:hAnsi="Calibri"/>
          <w:sz w:val="22"/>
          <w:szCs w:val="22"/>
          <w:lang w:val="sv"/>
        </w:rPr>
        <w:t>, meddelar nätinnehavaren den nya detaljförsäljaren senast följande vardag efter att ha mottagit säljarens meddelande att det nya försäljningsavtalet inte kan påbörjas, och meddelar den nuvarande säljaren att upphörandet av det nuvarande försäljningsavtalet har annullerats. Som mottagningsdag för meddelandet anses den vardag då nätinnehavaren får meddelandet.</w:t>
      </w:r>
    </w:p>
    <w:p w14:paraId="46E07FA0" w14:textId="0526793F"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Den nya säljaren ska annullera meddelandet om ett nytt försäljningsavtal så snart som möjligt och senast två vardagar före den gasleveransdag på vilken gasförsäljningen skulle börja enligt det nya försäljningsavtalet. Om säljaren har annullerat ett nytt försäljningsavtal inom annulleringsfristen, ska nätinnehavaren godkänna annulleringsbegäran senast följande vardag efter mottagandet av annulleringsbegäran. Som mottagningsdag för annulleringsbegäran anses den vardag då nätinnehavaren får begäran. </w:t>
      </w:r>
    </w:p>
    <w:p w14:paraId="2D8CF8FD" w14:textId="3006086E" w:rsidR="00FE01D7" w:rsidRPr="001A1743" w:rsidRDefault="00C533D0" w:rsidP="00907669">
      <w:pPr>
        <w:pStyle w:val="Leipteksti24"/>
        <w:numPr>
          <w:ilvl w:val="0"/>
          <w:numId w:val="0"/>
        </w:numPr>
        <w:tabs>
          <w:tab w:val="clear" w:pos="-1620"/>
        </w:tabs>
        <w:ind w:left="1304" w:hanging="737"/>
        <w:rPr>
          <w:rFonts w:ascii="Calibri" w:hAnsi="Calibri" w:cs="Calibri"/>
          <w:sz w:val="22"/>
          <w:szCs w:val="22"/>
          <w:lang w:val="sv-FI"/>
        </w:rPr>
      </w:pPr>
      <w:r>
        <w:rPr>
          <w:lang w:val="sv"/>
        </w:rPr>
        <w:tab/>
      </w:r>
    </w:p>
    <w:p w14:paraId="1438CFEA" w14:textId="1CBBBEA2"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Om den nya säljaren annullerar meddelandet om påbörjande av ett nytt försäljningsavtal eller om nätinnehavaren förkastar meddelandet om ett nytt försäljningsavtal, fortsätter driftsställets nuvarande säljare sin gasförsäljning till driftsstället, om inte den nuvarande säljaren har meddelat nätinnehavaren att försäljningsavtalet avslutas.</w:t>
      </w:r>
    </w:p>
    <w:p w14:paraId="628CFADB" w14:textId="3A79D2B8" w:rsidR="00FE01D7" w:rsidRPr="001A1743" w:rsidRDefault="00FE01D7" w:rsidP="00907669">
      <w:pPr>
        <w:pStyle w:val="Leipteksti24"/>
        <w:numPr>
          <w:ilvl w:val="1"/>
          <w:numId w:val="1"/>
        </w:numPr>
        <w:tabs>
          <w:tab w:val="clear" w:pos="-1620"/>
          <w:tab w:val="clear" w:pos="2592"/>
          <w:tab w:val="left" w:pos="1985"/>
        </w:tabs>
        <w:ind w:left="1304" w:hanging="737"/>
        <w:rPr>
          <w:rFonts w:ascii="Calibri" w:hAnsi="Calibri" w:cs="Calibri"/>
          <w:sz w:val="22"/>
          <w:szCs w:val="22"/>
          <w:lang w:val="sv-FI"/>
        </w:rPr>
      </w:pPr>
      <w:r>
        <w:rPr>
          <w:rFonts w:ascii="Calibri" w:hAnsi="Calibri" w:cs="Calibri"/>
          <w:sz w:val="22"/>
          <w:szCs w:val="22"/>
          <w:lang w:val="sv"/>
        </w:rPr>
        <w:t>Avtalshandlingarna bildar gasförsäljningsavtalets innehåll. Om innehållet i gasförsäljningsavtalet och de handlingar som nämns i avtalet är inbördes motstridigt, tillämpas och tolkas handlingarna i följande ordning:</w:t>
      </w:r>
      <w:r>
        <w:rPr>
          <w:rFonts w:ascii="Calibri" w:hAnsi="Calibri" w:cs="Calibri"/>
          <w:sz w:val="22"/>
          <w:szCs w:val="22"/>
          <w:lang w:val="sv"/>
        </w:rPr>
        <w:br/>
      </w:r>
      <w:r>
        <w:rPr>
          <w:rFonts w:ascii="Calibri" w:hAnsi="Calibri" w:cs="Calibri"/>
          <w:sz w:val="22"/>
          <w:szCs w:val="22"/>
          <w:lang w:val="sv"/>
        </w:rPr>
        <w:lastRenderedPageBreak/>
        <w:t xml:space="preserve">1) </w:t>
      </w:r>
      <w:r>
        <w:rPr>
          <w:rFonts w:ascii="Calibri" w:hAnsi="Calibri" w:cs="Calibri"/>
          <w:sz w:val="22"/>
          <w:szCs w:val="22"/>
          <w:lang w:val="sv"/>
        </w:rPr>
        <w:tab/>
        <w:t>Individuella avtalsvillkor</w:t>
      </w:r>
      <w:r>
        <w:rPr>
          <w:rFonts w:ascii="Calibri" w:hAnsi="Calibri" w:cs="Calibri"/>
          <w:sz w:val="22"/>
          <w:szCs w:val="22"/>
          <w:lang w:val="sv"/>
        </w:rPr>
        <w:br/>
        <w:t xml:space="preserve">2) </w:t>
      </w:r>
      <w:r>
        <w:rPr>
          <w:rFonts w:ascii="Calibri" w:hAnsi="Calibri" w:cs="Calibri"/>
          <w:sz w:val="22"/>
          <w:szCs w:val="22"/>
          <w:lang w:val="sv"/>
        </w:rPr>
        <w:tab/>
        <w:t>Prislistor</w:t>
      </w:r>
      <w:r>
        <w:rPr>
          <w:rFonts w:ascii="Calibri" w:hAnsi="Calibri" w:cs="Calibri"/>
          <w:sz w:val="22"/>
          <w:szCs w:val="22"/>
          <w:lang w:val="sv"/>
        </w:rPr>
        <w:br/>
        <w:t xml:space="preserve">3) </w:t>
      </w:r>
      <w:r>
        <w:rPr>
          <w:rFonts w:ascii="Calibri" w:hAnsi="Calibri" w:cs="Calibri"/>
          <w:sz w:val="22"/>
          <w:szCs w:val="22"/>
          <w:lang w:val="sv"/>
        </w:rPr>
        <w:tab/>
        <w:t xml:space="preserve">Allmänna avtalsvillkor (dessa villkor). </w:t>
      </w:r>
    </w:p>
    <w:p w14:paraId="55807BE6" w14:textId="05627263"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Säljaren och användaren kan komma överens om ändringar i dessa villkor. Överenskommelsen kan dock inte avvika från dessa villkor till konsumentens nackdel.</w:t>
      </w:r>
    </w:p>
    <w:p w14:paraId="2CCAEF3F" w14:textId="5647E10F" w:rsidR="00B97173" w:rsidRPr="001A1743" w:rsidRDefault="00B97173"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Användaren är skyldig att meddela säljaren om ändringar som påverkar avtalet och som rör exempelvis användaren, driftsstället, faktureringsadressen eller någon annan adress till vilken avtalsparterna har kommit överens om att säljaren sänder bekräftelser, meddelanden om prisändringar och andra meddelanden.</w:t>
      </w:r>
    </w:p>
    <w:p w14:paraId="15CE849B" w14:textId="1E91E0E5" w:rsidR="00907669" w:rsidRPr="001A1743" w:rsidRDefault="00FE01D7" w:rsidP="00B97173">
      <w:pPr>
        <w:pStyle w:val="Leipteksti24"/>
        <w:numPr>
          <w:ilvl w:val="0"/>
          <w:numId w:val="0"/>
        </w:numPr>
        <w:tabs>
          <w:tab w:val="clear" w:pos="-1620"/>
        </w:tabs>
        <w:ind w:left="1304" w:hanging="737"/>
        <w:rPr>
          <w:rFonts w:ascii="Calibri" w:hAnsi="Calibri" w:cs="Calibri"/>
          <w:sz w:val="22"/>
          <w:szCs w:val="22"/>
          <w:lang w:val="sv-FI"/>
        </w:rPr>
      </w:pPr>
      <w:r>
        <w:rPr>
          <w:rFonts w:ascii="Calibri" w:hAnsi="Calibri" w:cs="Calibri"/>
          <w:sz w:val="22"/>
          <w:szCs w:val="22"/>
          <w:lang w:val="sv"/>
        </w:rPr>
        <w:tab/>
        <w:t xml:space="preserve"> </w:t>
      </w:r>
    </w:p>
    <w:p w14:paraId="43E50A26" w14:textId="77777777" w:rsidR="00FE01D7" w:rsidRPr="00907669" w:rsidRDefault="00FE01D7" w:rsidP="007D3745">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rPr>
          <w:rFonts w:asciiTheme="majorHAnsi" w:hAnsiTheme="majorHAnsi" w:cs="Calibri"/>
          <w:szCs w:val="28"/>
        </w:rPr>
      </w:pPr>
      <w:bookmarkStart w:id="9" w:name="_Toc27643656"/>
      <w:r>
        <w:rPr>
          <w:rFonts w:asciiTheme="majorHAnsi" w:hAnsiTheme="majorHAnsi" w:cs="Calibri"/>
          <w:szCs w:val="28"/>
          <w:lang w:val="sv"/>
        </w:rPr>
        <w:t>Mätning och fakturering av gas</w:t>
      </w:r>
      <w:bookmarkEnd w:id="9"/>
    </w:p>
    <w:p w14:paraId="44C31A89" w14:textId="1DFDF1AE"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Nätinnehavaren ordnar den mätning som ligger till grund för faktureringen enligt de villkor som avtalats i gasnätavtalet. </w:t>
      </w:r>
    </w:p>
    <w:p w14:paraId="0BDDE598"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Säljaren fakturerar användaren för gasförbrukningen i enlighet med försäljningsavtalet och vid var tid gällande prislistor.</w:t>
      </w:r>
    </w:p>
    <w:p w14:paraId="5ABDBA4E"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I fråga om fakturans innehåll följs naturgasmarknadslagen och bestämmelser och föreskrifter som utfärdats med stöd av den. </w:t>
      </w:r>
    </w:p>
    <w:p w14:paraId="3BA1241E" w14:textId="72E3E83E"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Säljarens fakturering baserar sig på de gasmängder som meddelats till det centraliserade informationsutbytessystemet, när det är fråga om ett dygnsavläst driftsställe. När det är fråga om ett icke-dygnsavläst driftsställe, baserar sig faktureringen på de uppmätta eller uppskattade gasförbrukningsvärden som nätinnehavaren meddelat säljaren.</w:t>
      </w:r>
    </w:p>
    <w:p w14:paraId="28DBBD9E" w14:textId="01C1FE8A" w:rsidR="00FE01D7" w:rsidRPr="001A1743" w:rsidRDefault="00FE01D7" w:rsidP="006D149E">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I gasförsäljningsavtalet avtalas om faktureringsintervallet och om huruvida faktureringen ska basera sig på uppmätt eller uppskattad gasförbrukning. Den gas som levererats till användaren faktureras enligt den faktiska förbrukningen minst fyra gånger om året. Om ett gasdriftsställe till vilket gas levereras enbart för matlagning har utrustats med mätapparatur, ska den gas som överförts till användaren dock faktureras minst en gång om året enligt den faktiskt överförda mängden. Användaren har rätt att få den uppskattade gasförbrukningen ändrad, om det sker en väsentlig förändring i de förhållanden som ligger till grund för uppskattningen. </w:t>
      </w:r>
    </w:p>
    <w:p w14:paraId="0667328B" w14:textId="11AD30B2" w:rsidR="00FF2AF9" w:rsidRPr="001A1743" w:rsidRDefault="00FF2AF9"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Mellan den dag då fakturan avsänds och förfallodagen ska det vara minst fjorton dagar. Om användaren inte är en konsument, kan avtalsparterna också avtala om kortare förfallotid.</w:t>
      </w:r>
    </w:p>
    <w:p w14:paraId="7021CABF" w14:textId="02BFD225" w:rsidR="00FE01D7" w:rsidRPr="001A1743" w:rsidRDefault="00FE01D7" w:rsidP="00E26AB0">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Användaren är skyldig att betala faktura som säljaren sänt senast på den förfallodag som står på fakturan. Fakturan sänds till den faktureringsadress som användaren har uppgett. Användaren svarar för att fakturan blir betald oberoende av vart han har bett att få fakturan tillsänd.</w:t>
      </w:r>
    </w:p>
    <w:p w14:paraId="66DA35B0" w14:textId="77777777" w:rsidR="00E26AB0" w:rsidRPr="001A1743" w:rsidRDefault="00FE01D7" w:rsidP="00E26AB0">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För eventuella försenade betalningar har säljaren rätt till dröjsmålsränta enligt räntelagen. Om fakturans förfallodag och det belopp som ska betalas har bestämts i förväg, tas dröjsmålsränta ut från och med förfallodagen. Om förfallodagen och/eller beloppet som ska betalas inte har bestämts i förväg på en faktura till en konsument, kan dröjsmålsränta tas ut tidigast 30 dagar efter att fakturan sänts. För skriftlig påminnelse och avbrottsvarsel kan dessutom en skälig avgift tas ut enligt gällande prislista. </w:t>
      </w:r>
    </w:p>
    <w:p w14:paraId="187BE2EF"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lastRenderedPageBreak/>
        <w:t>Till en konsument ska säljaren sända en slutfaktura inom sex veckor från det att gasleveransen till konsumenten har avslutats.</w:t>
      </w:r>
    </w:p>
    <w:p w14:paraId="63BDBB25"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Till följd av fel i faktureringen, mätningen eller mätaravläsningen har säljaren rätt till tilläggsdebitering och användaren rätt till kreditering.</w:t>
      </w:r>
    </w:p>
    <w:p w14:paraId="00C16FDC" w14:textId="550AD2EB"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Om mätfelet har konstaterats vara större än vad som är acceptabelt enligt nätavtalet mellan användaren och nätinnehavaren, beaktas detta också i faktureringen enligt försäljningsavtalet så att krediteringen eller tilläggsdebiteringen betalas på basis av en uppskattning som nätinnehavaren lämnat säljaren och som är grundad på kontroll av mätapparaturen. Om det är fråga om ett icke-dygnsavläst driftsställe, betalas krediteringen eller tilläggsdebiteringen på basis av en uppskattning som nätinnehavaren lämnat säljaren och som är grundad på användarens konstaterade gasförbrukning vid olika tider samt på andra uppgifter.</w:t>
      </w:r>
    </w:p>
    <w:p w14:paraId="17ECF03D"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Avtalsparterna kan kräva sina fordringar som grundar sig på fel för de tre senaste åren. En konsument kan dock kräva sina fordringar för felets hela verkningstid, dock inte för mer än tio år, om tidpunkten då felet uppkom och dess inverkan  på faktureringen kan konstateras i efterhand.</w:t>
      </w:r>
    </w:p>
    <w:p w14:paraId="77C9192B" w14:textId="10C40EF0"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Nätinnehavaren svarar i stället för säljaren för att kreditera användaren och har rätt att i stället för säljaren debitera tilläggsdebitering, om det är fråga om ett driftsställe som är fjärravläst och </w:t>
      </w:r>
    </w:p>
    <w:p w14:paraId="22BF9781" w14:textId="77777777" w:rsidR="00FF2AF9" w:rsidRPr="001A1743" w:rsidRDefault="00FF2AF9" w:rsidP="00907669">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firstLine="0"/>
        <w:rPr>
          <w:rFonts w:ascii="Calibri" w:hAnsi="Calibri" w:cs="Calibri"/>
          <w:sz w:val="22"/>
          <w:szCs w:val="22"/>
          <w:lang w:val="sv-FI"/>
        </w:rPr>
      </w:pPr>
      <w:r>
        <w:rPr>
          <w:rFonts w:ascii="Calibri" w:hAnsi="Calibri" w:cs="Calibri"/>
          <w:sz w:val="22"/>
          <w:szCs w:val="22"/>
          <w:lang w:val="sv"/>
        </w:rPr>
        <w:t xml:space="preserve">a) det har gått mer än tre år sedan felet i faktureringen inträffade och kunden meddelades om det; eller om </w:t>
      </w:r>
    </w:p>
    <w:p w14:paraId="2B2407FB" w14:textId="73201946" w:rsidR="00FF2AF9" w:rsidRPr="001A1743" w:rsidRDefault="00FF2AF9" w:rsidP="00907669">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rPr>
          <w:rFonts w:ascii="Calibri" w:hAnsi="Calibri" w:cs="Calibri"/>
          <w:sz w:val="22"/>
          <w:szCs w:val="22"/>
          <w:lang w:val="sv-FI"/>
        </w:rPr>
      </w:pPr>
      <w:r>
        <w:rPr>
          <w:rFonts w:ascii="Calibri" w:hAnsi="Calibri" w:cs="Calibri"/>
          <w:sz w:val="22"/>
          <w:szCs w:val="22"/>
          <w:lang w:val="sv"/>
        </w:rPr>
        <w:tab/>
        <w:t xml:space="preserve">b) kundrelationen mellan kunden och säljaren har upphört tidigare än sex veckor innan felet upptäcktes, </w:t>
      </w:r>
    </w:p>
    <w:p w14:paraId="2052F30A" w14:textId="1A36523A" w:rsidR="00FF2AF9" w:rsidRPr="001A1743" w:rsidRDefault="00FF2AF9" w:rsidP="00907669">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rPr>
          <w:rFonts w:ascii="Calibri" w:hAnsi="Calibri" w:cs="Calibri"/>
          <w:sz w:val="22"/>
          <w:szCs w:val="22"/>
          <w:lang w:val="sv-FI"/>
        </w:rPr>
      </w:pPr>
      <w:r>
        <w:rPr>
          <w:rFonts w:ascii="Calibri" w:hAnsi="Calibri" w:cs="Calibri"/>
          <w:sz w:val="22"/>
          <w:szCs w:val="22"/>
          <w:lang w:val="sv"/>
        </w:rPr>
        <w:tab/>
        <w:t>och de uppgifter om gasförbrukningen som nätinnehavaren har gett säljaren som grund för faktureringen är oriktiga jämfört med den faktiska gasförbrukningen på grund av fel i mätningen eller mätaravläsningen eller fel i ett meddelande från nätinnehavaren (dock inte på grund av avvikelse i uppskattningen).  Om prissättningen av i denna punkt avsedda tilläggsdebiteringar och krediteringar föreskrivs i avtalsvillkoren för nätavtalet.</w:t>
      </w:r>
    </w:p>
    <w:p w14:paraId="5BD32822" w14:textId="3D20CEA0"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Ingen ränta utgår för tilläggsdebiteringen eller krediteringen för den tid som ränta skulle ha influtit. Användaren ska beviljas skälig betalningstid för betalning av tilläggsdebiteringen. Om användaren </w:t>
      </w:r>
      <w:r w:rsidR="00C03944">
        <w:rPr>
          <w:rFonts w:ascii="Calibri" w:hAnsi="Calibri" w:cs="Calibri"/>
          <w:sz w:val="22"/>
          <w:szCs w:val="22"/>
          <w:lang w:val="sv"/>
        </w:rPr>
        <w:t xml:space="preserve">inte </w:t>
      </w:r>
      <w:r>
        <w:rPr>
          <w:rFonts w:ascii="Calibri" w:hAnsi="Calibri" w:cs="Calibri"/>
          <w:sz w:val="22"/>
          <w:szCs w:val="22"/>
          <w:lang w:val="sv"/>
        </w:rPr>
        <w:t>betalar fakturan för tilläggsdebiteringen</w:t>
      </w:r>
      <w:r w:rsidR="00C03944" w:rsidRPr="00C03944">
        <w:rPr>
          <w:rFonts w:ascii="Calibri" w:hAnsi="Calibri" w:cs="Calibri"/>
          <w:sz w:val="22"/>
          <w:szCs w:val="22"/>
          <w:lang w:val="sv"/>
        </w:rPr>
        <w:t xml:space="preserve"> </w:t>
      </w:r>
      <w:r w:rsidR="00C03944">
        <w:rPr>
          <w:rFonts w:ascii="Calibri" w:hAnsi="Calibri" w:cs="Calibri"/>
          <w:sz w:val="22"/>
          <w:szCs w:val="22"/>
          <w:lang w:val="sv"/>
        </w:rPr>
        <w:t>inom den beviljade tiden</w:t>
      </w:r>
      <w:r>
        <w:rPr>
          <w:rFonts w:ascii="Calibri" w:hAnsi="Calibri" w:cs="Calibri"/>
          <w:sz w:val="22"/>
          <w:szCs w:val="22"/>
          <w:lang w:val="sv"/>
        </w:rPr>
        <w:t>, kan dröjsmålsränta enligt räntelagen tas ut för den överskjutande tiden.</w:t>
      </w:r>
    </w:p>
    <w:p w14:paraId="4EB77804" w14:textId="2109D3DD" w:rsidR="00FE01D7" w:rsidRPr="001A1743" w:rsidRDefault="00765C7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Användaren är skyldig att betala också för sådan uppmätt eller konstaterad gasförsäljning som har orsakats av fel i installationer eller anordningar inom användarens ansvarskrets.</w:t>
      </w:r>
    </w:p>
    <w:p w14:paraId="6F841F38" w14:textId="1C625222"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Om det är fråga om ett driftsställe som inte är fjärravläst och gas används genom att förbikoppla mätapparaturen eller försämra dess mätprecision, har säljaren rätt att fakturera användaren enligt den största möjliga förbrukning som nätinnehavaren meddelat. Om användaren är en konsument, kan faktureringen göras enligt den sannolika förbrukningen, om denna går att uppskatta. Om det inte är möjligt att fastställa hur lång tid denna förbrukning pågått, kan kunden efterfaktureras för högst tre år.</w:t>
      </w:r>
    </w:p>
    <w:p w14:paraId="02F5A45E" w14:textId="77777777" w:rsidR="00907669" w:rsidRPr="001A1743" w:rsidRDefault="00907669" w:rsidP="00907669">
      <w:pPr>
        <w:pStyle w:val="Leipteksti24"/>
        <w:numPr>
          <w:ilvl w:val="0"/>
          <w:numId w:val="0"/>
        </w:numPr>
        <w:tabs>
          <w:tab w:val="clear" w:pos="-1620"/>
        </w:tabs>
        <w:spacing w:before="0" w:after="0"/>
        <w:outlineLvl w:val="1"/>
        <w:rPr>
          <w:rFonts w:ascii="Calibri" w:hAnsi="Calibri" w:cs="Calibri"/>
          <w:sz w:val="22"/>
          <w:szCs w:val="22"/>
          <w:lang w:val="sv-FI"/>
        </w:rPr>
      </w:pPr>
    </w:p>
    <w:p w14:paraId="3AAEAB85" w14:textId="513D1DDB" w:rsidR="00FE01D7" w:rsidRPr="00907669" w:rsidRDefault="00FE01D7" w:rsidP="007D3745">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rPr>
          <w:rFonts w:asciiTheme="majorHAnsi" w:hAnsiTheme="majorHAnsi" w:cs="Calibri"/>
          <w:szCs w:val="28"/>
        </w:rPr>
      </w:pPr>
      <w:bookmarkStart w:id="10" w:name="_Toc27643657"/>
      <w:r>
        <w:rPr>
          <w:rFonts w:asciiTheme="majorHAnsi" w:hAnsiTheme="majorHAnsi" w:cs="Calibri"/>
          <w:szCs w:val="28"/>
          <w:lang w:val="sv"/>
        </w:rPr>
        <w:lastRenderedPageBreak/>
        <w:t>Säkerhet eller förskott</w:t>
      </w:r>
      <w:bookmarkEnd w:id="10"/>
    </w:p>
    <w:p w14:paraId="6CB06200" w14:textId="10E723D7" w:rsidR="00FE01D7" w:rsidRPr="001A1743" w:rsidRDefault="00FE01D7" w:rsidP="00041D42">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Då försäljningsavtalet ingås har säljaren rätt att av en användare som inte är en konsument kräva säkerhet eller förskott för att de fordringar som grundar sig på försäljningsavtalet kommer att betalas. Om försäljningsavtalet ingås mellan samma avtalsparter bara på grund av byte av gasdriftsställe eller uppsägning av helhetsleveransavtalet för gas utan samtidiga ändringar i gasanvändning eller andra omständigheter, kan säkerhet krävas endast enligt punkt </w:t>
      </w:r>
      <w:r>
        <w:rPr>
          <w:rFonts w:ascii="Calibri" w:hAnsi="Calibri" w:cs="Calibri"/>
          <w:sz w:val="22"/>
          <w:szCs w:val="22"/>
          <w:lang w:val="sv"/>
        </w:rPr>
        <w:fldChar w:fldCharType="begin"/>
      </w:r>
      <w:r>
        <w:rPr>
          <w:rFonts w:ascii="Calibri" w:hAnsi="Calibri" w:cs="Calibri"/>
          <w:sz w:val="22"/>
          <w:szCs w:val="22"/>
          <w:lang w:val="sv"/>
        </w:rPr>
        <w:instrText xml:space="preserve"> REF _Ref332271652 \w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5.2</w:t>
      </w:r>
      <w:r>
        <w:rPr>
          <w:rFonts w:ascii="Calibri" w:hAnsi="Calibri" w:cs="Calibri"/>
          <w:sz w:val="22"/>
          <w:szCs w:val="22"/>
          <w:lang w:val="sv"/>
        </w:rPr>
        <w:fldChar w:fldCharType="end"/>
      </w:r>
      <w:r>
        <w:rPr>
          <w:rFonts w:ascii="Calibri" w:hAnsi="Calibri" w:cs="Calibri"/>
          <w:sz w:val="22"/>
          <w:szCs w:val="22"/>
          <w:lang w:val="sv"/>
        </w:rPr>
        <w:t>.</w:t>
      </w:r>
      <w:bookmarkStart w:id="11" w:name="_Ref332270082"/>
    </w:p>
    <w:p w14:paraId="45AC7C15"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bookmarkStart w:id="12" w:name="_Ref332271652"/>
      <w:r>
        <w:rPr>
          <w:rFonts w:ascii="Calibri" w:hAnsi="Calibri" w:cs="Calibri"/>
          <w:sz w:val="22"/>
          <w:szCs w:val="22"/>
          <w:lang w:val="sv"/>
        </w:rPr>
        <w:t>Efter att gasförsäljningen påbörjats har säljaren rätt att av en användare som inte är en konsument kräva</w:t>
      </w:r>
      <w:bookmarkEnd w:id="11"/>
      <w:r>
        <w:rPr>
          <w:rFonts w:ascii="Calibri" w:hAnsi="Calibri" w:cs="Calibri"/>
          <w:sz w:val="22"/>
          <w:szCs w:val="22"/>
          <w:lang w:val="sv"/>
        </w:rPr>
        <w:t xml:space="preserve"> säkerhet eller förskott för att de fordringar som grundar sig på gasförsäljningsavtalet kommer att betalas, om användaren i väsentlig grad har försummat sin betalningsskyldighet som grundar sig på detta eller ett annat gasförsäljningsavtal eller på ett helhetsleveransavtal för gas och betalningsskyldigheten inte med fog har gjorts stridig,</w:t>
      </w:r>
      <w:bookmarkEnd w:id="12"/>
      <w:r>
        <w:rPr>
          <w:rFonts w:ascii="Calibri" w:hAnsi="Calibri" w:cs="Calibri"/>
          <w:sz w:val="22"/>
          <w:szCs w:val="22"/>
          <w:lang w:val="sv"/>
        </w:rPr>
        <w:t xml:space="preserve"> eller om det framgår av användarens kreditupplysningar att användaren är uppenbart oförmögen att betala de avgifter som grundar sig på nätavtalet.</w:t>
      </w:r>
    </w:p>
    <w:p w14:paraId="5E6E9B86" w14:textId="0FE18EE9" w:rsidR="00FE01D7" w:rsidRPr="00041D42" w:rsidRDefault="00FE01D7" w:rsidP="00041D42">
      <w:pPr>
        <w:pStyle w:val="Leipteksti24"/>
        <w:numPr>
          <w:ilvl w:val="1"/>
          <w:numId w:val="1"/>
        </w:numPr>
        <w:tabs>
          <w:tab w:val="clear" w:pos="-1620"/>
        </w:tabs>
        <w:ind w:left="1304" w:hanging="737"/>
        <w:rPr>
          <w:rFonts w:ascii="Calibri" w:hAnsi="Calibri" w:cs="Calibri"/>
          <w:sz w:val="22"/>
          <w:szCs w:val="22"/>
        </w:rPr>
      </w:pPr>
      <w:bookmarkStart w:id="13" w:name="_Hlk17813273"/>
      <w:r>
        <w:rPr>
          <w:rFonts w:ascii="Calibri" w:hAnsi="Calibri" w:cs="Calibri"/>
          <w:sz w:val="22"/>
          <w:szCs w:val="22"/>
          <w:lang w:val="sv"/>
        </w:rPr>
        <w:t xml:space="preserve">Av en konsument kan säljaren kräva skälig säkerhet eller förskott när försäljningsavtalet ingås och när gasförsäljningsavtalet är i kraft. När gasförsäljningsavtalet är i kraft kan säkerhet eller förskott krävas endast om konsumenten i väsentlig grad har försummat sin betalningsskyldighet. </w:t>
      </w:r>
      <w:bookmarkEnd w:id="13"/>
      <w:r>
        <w:rPr>
          <w:rFonts w:ascii="Calibri" w:hAnsi="Calibri" w:cs="Calibri"/>
          <w:sz w:val="22"/>
          <w:szCs w:val="22"/>
          <w:lang w:val="sv"/>
        </w:rPr>
        <w:t>Säljaren ska både när försäljningsavtalet ingås och när det är i kraft dessutom ha ytterst vägande skäl för att kräva säkerhet eller förskott. Ytterst vägande skäl är till exempel:</w:t>
      </w:r>
    </w:p>
    <w:p w14:paraId="545156FE" w14:textId="77777777" w:rsidR="00FE01D7" w:rsidRPr="001A1743" w:rsidRDefault="00FE01D7" w:rsidP="00907669">
      <w:pPr>
        <w:pStyle w:val="Leipteksti24"/>
        <w:numPr>
          <w:ilvl w:val="2"/>
          <w:numId w:val="18"/>
        </w:numPr>
        <w:tabs>
          <w:tab w:val="clear" w:pos="-1620"/>
        </w:tabs>
        <w:ind w:left="2609" w:hanging="1191"/>
        <w:rPr>
          <w:rFonts w:ascii="Calibri" w:hAnsi="Calibri" w:cs="Calibri"/>
          <w:sz w:val="22"/>
          <w:szCs w:val="22"/>
          <w:lang w:val="sv-FI"/>
        </w:rPr>
      </w:pPr>
      <w:r>
        <w:rPr>
          <w:rFonts w:ascii="Calibri" w:hAnsi="Calibri" w:cs="Calibri"/>
          <w:sz w:val="22"/>
          <w:szCs w:val="22"/>
          <w:lang w:val="sv"/>
        </w:rPr>
        <w:t>gasförsäljningen till en konsument har avbrutits på grund av betalningsförsummelse;</w:t>
      </w:r>
    </w:p>
    <w:p w14:paraId="4F833D04" w14:textId="77777777" w:rsidR="00FE01D7" w:rsidRPr="001A1743" w:rsidRDefault="00FE01D7" w:rsidP="00907669">
      <w:pPr>
        <w:pStyle w:val="Leipteksti24"/>
        <w:numPr>
          <w:ilvl w:val="2"/>
          <w:numId w:val="18"/>
        </w:numPr>
        <w:tabs>
          <w:tab w:val="clear" w:pos="-1620"/>
        </w:tabs>
        <w:ind w:left="2609" w:hanging="1191"/>
        <w:rPr>
          <w:rFonts w:ascii="Calibri" w:hAnsi="Calibri" w:cs="Calibri"/>
          <w:sz w:val="22"/>
          <w:szCs w:val="22"/>
          <w:lang w:val="sv-FI"/>
        </w:rPr>
      </w:pPr>
      <w:r>
        <w:rPr>
          <w:rFonts w:ascii="Calibri" w:hAnsi="Calibri" w:cs="Calibri"/>
          <w:sz w:val="22"/>
          <w:szCs w:val="22"/>
          <w:lang w:val="sv"/>
        </w:rPr>
        <w:t>säljaren har fordringar på en konsument i anslutning till gasförsäljningen eller helhetsleveransen och beloppet kan anses betydande i förhållande till gasförsäljningens faktureringsbelopp; eller</w:t>
      </w:r>
    </w:p>
    <w:p w14:paraId="78C8AE1F" w14:textId="77777777" w:rsidR="00FE01D7" w:rsidRPr="001A1743" w:rsidRDefault="00FE01D7" w:rsidP="00907669">
      <w:pPr>
        <w:pStyle w:val="Leipteksti24"/>
        <w:numPr>
          <w:ilvl w:val="2"/>
          <w:numId w:val="18"/>
        </w:numPr>
        <w:tabs>
          <w:tab w:val="clear" w:pos="-1620"/>
        </w:tabs>
        <w:ind w:left="2609" w:hanging="1191"/>
        <w:rPr>
          <w:rFonts w:ascii="Calibri" w:hAnsi="Calibri" w:cs="Calibri"/>
          <w:sz w:val="22"/>
          <w:szCs w:val="22"/>
          <w:lang w:val="sv-FI"/>
        </w:rPr>
      </w:pPr>
      <w:r>
        <w:rPr>
          <w:rFonts w:ascii="Calibri" w:hAnsi="Calibri" w:cs="Calibri"/>
          <w:sz w:val="22"/>
          <w:szCs w:val="22"/>
          <w:lang w:val="sv"/>
        </w:rPr>
        <w:t xml:space="preserve">det framgår av en konsuments kreditupplysningar att konsumenten är uppenbart oförmögen att betala de avgifter som grundar sig på gasförsäljningsavtalet. </w:t>
      </w:r>
    </w:p>
    <w:p w14:paraId="45CCDC23"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Om säkerheten eller förskottet inte har betalats inom tidsfristen vid ingåendet av försäljningsavtalet, hävs försäljningsavtalet med omedelbar verkan utan särskild anmälan. Avtalet hävs även om gasleveransen till driftsstället har påbörjats. Användaren är skyldig att betala avtalsenligt pris för den gas han förbrukat innan avtalet upphörde att gälla. </w:t>
      </w:r>
    </w:p>
    <w:p w14:paraId="52F67153" w14:textId="683D760F" w:rsidR="00FE01D7" w:rsidRPr="001A1743" w:rsidRDefault="00FE01D7" w:rsidP="000517C5">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Säljaren har rätt att använda säkerheten eller förskottet för betalning av sina förfallna fordringar som härrör av gasförsäljningen samt tidigare helhetsleveranser av gas och levererade tjänster till samma driftsställe, upplupna dröjsmålsräntor och skäliga indrivningskostnader. Om säljaren använder säkerheten eller förskottet eller en del av dem för betalning av sina fordringar, har säljaren rätt att kräva att användaren kompletterar säkerheten eller förskottet till det belopp som nämns i punkt </w:t>
      </w:r>
      <w:r>
        <w:rPr>
          <w:rFonts w:ascii="Calibri" w:hAnsi="Calibri" w:cs="Calibri"/>
          <w:sz w:val="22"/>
          <w:szCs w:val="22"/>
          <w:lang w:val="sv"/>
        </w:rPr>
        <w:fldChar w:fldCharType="begin"/>
      </w:r>
      <w:r>
        <w:rPr>
          <w:rFonts w:ascii="Calibri" w:hAnsi="Calibri" w:cs="Calibri"/>
          <w:sz w:val="22"/>
          <w:szCs w:val="22"/>
          <w:lang w:val="sv"/>
        </w:rPr>
        <w:instrText xml:space="preserve"> REF _Ref373323330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5.7</w:t>
      </w:r>
      <w:r>
        <w:rPr>
          <w:rFonts w:ascii="Calibri" w:hAnsi="Calibri" w:cs="Calibri"/>
          <w:sz w:val="22"/>
          <w:szCs w:val="22"/>
          <w:lang w:val="sv"/>
        </w:rPr>
        <w:fldChar w:fldCharType="end"/>
      </w:r>
      <w:r>
        <w:rPr>
          <w:rFonts w:ascii="Calibri" w:hAnsi="Calibri" w:cs="Calibri"/>
          <w:sz w:val="22"/>
          <w:szCs w:val="22"/>
          <w:lang w:val="sv"/>
        </w:rPr>
        <w:t>, om avtalsförhållandet fortgår.</w:t>
      </w:r>
    </w:p>
    <w:p w14:paraId="53664EC0"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Säljaren betalar ingen ränta på säkerheten eller förskottet. </w:t>
      </w:r>
    </w:p>
    <w:p w14:paraId="5AA8E054" w14:textId="03267C14" w:rsidR="00FE01D7" w:rsidRPr="001A1743" w:rsidRDefault="00FE01D7" w:rsidP="005A08D9">
      <w:pPr>
        <w:pStyle w:val="Leipteksti24"/>
        <w:numPr>
          <w:ilvl w:val="1"/>
          <w:numId w:val="1"/>
        </w:numPr>
        <w:tabs>
          <w:tab w:val="clear" w:pos="-1620"/>
        </w:tabs>
        <w:ind w:left="1304" w:hanging="737"/>
        <w:rPr>
          <w:rFonts w:ascii="Calibri" w:hAnsi="Calibri" w:cs="Calibri"/>
          <w:sz w:val="22"/>
          <w:szCs w:val="22"/>
          <w:lang w:val="sv-FI"/>
        </w:rPr>
      </w:pPr>
      <w:bookmarkStart w:id="14" w:name="_Ref373323330"/>
      <w:r>
        <w:rPr>
          <w:rFonts w:ascii="Calibri" w:hAnsi="Calibri" w:cs="Calibri"/>
          <w:sz w:val="22"/>
          <w:szCs w:val="22"/>
          <w:lang w:val="sv"/>
        </w:rPr>
        <w:t xml:space="preserve">Till sitt belopp kan säkerheten eller förskottet vara högst så stor som försäljningsfakturan för tiden mellan faktureringsperiodens början och avbrottet i gasförsäljningen, om inte annat avtalats med en kund som inte är en konsument. Om förbrukningsuppgifter inte finns </w:t>
      </w:r>
      <w:r>
        <w:rPr>
          <w:rFonts w:ascii="Calibri" w:hAnsi="Calibri" w:cs="Calibri"/>
          <w:sz w:val="22"/>
          <w:szCs w:val="22"/>
          <w:lang w:val="sv"/>
        </w:rPr>
        <w:lastRenderedPageBreak/>
        <w:t>tillgängliga för en slutförbrukare beräknas säkerheten eller förskottet på basis av en uppskattning av gasförbrukningen enligt användarens förbrukningsprofil. Uppskattningen kan beräknas enligt den period då gasförbrukningen är som störst.</w:t>
      </w:r>
      <w:bookmarkEnd w:id="14"/>
    </w:p>
    <w:p w14:paraId="3984FB7A" w14:textId="1B73CCE7" w:rsidR="00FE01D7" w:rsidRPr="001A1743" w:rsidRDefault="00FE01D7" w:rsidP="005A08D9">
      <w:pPr>
        <w:pStyle w:val="Leipteksti24"/>
        <w:numPr>
          <w:ilvl w:val="1"/>
          <w:numId w:val="1"/>
        </w:numPr>
        <w:tabs>
          <w:tab w:val="clear" w:pos="-1620"/>
        </w:tabs>
        <w:ind w:left="1304" w:hanging="737"/>
        <w:rPr>
          <w:rFonts w:ascii="Calibri" w:hAnsi="Calibri" w:cs="Calibri"/>
          <w:sz w:val="22"/>
          <w:szCs w:val="22"/>
          <w:lang w:val="sv-FI"/>
        </w:rPr>
      </w:pPr>
      <w:bookmarkStart w:id="15" w:name="_Ref332271374"/>
      <w:r>
        <w:rPr>
          <w:rFonts w:ascii="Calibri" w:hAnsi="Calibri" w:cs="Calibri"/>
          <w:sz w:val="22"/>
          <w:szCs w:val="22"/>
          <w:lang w:val="sv"/>
        </w:rPr>
        <w:t>Säljaren ska återställa säkerheten då gasförsäljningsavtalet har upphört, omedelbart då slutfakturan är betald och användarens eventuella andra förpliktelser är fullgjorda. Om avtalet förblir i kraft ska säkerheten återställas senast två år (till en konsument ett år) efter att den har ställts. Säkerheten återställs inte medan avtalet är i kraft, om användaren sedan säkerheten ställts i väsentlig grad har försummat sina betalningar. Säkerheten eller en del därav återställs dock inte medan försäljningsavtalet är i kraft eller när det upphör, om säljaren kan kräva att hela säkerheten eller en del därav används för att kvitta förfallna fordringar som härrör av användarens övriga giltiga och avslutade försäljnings- eller helhetsleveransavtal samt upplupna dröjsmålsräntor och skäliga indrivningskostnader. Om användaren inte är en konsument och inte omfattas av leveransskyldighet, kan användaren och säljaren också avtala annat om återställande av säkerhet. Förskottet används för betalning av avgifter som förfaller under den tid som i denna punkt fastställs för återställande av säkerhet.</w:t>
      </w:r>
    </w:p>
    <w:p w14:paraId="2E8B5610" w14:textId="37774E3F"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Ett skriftligt avtal ska upprättas om överlåtelse av säkerhet. Förskott kan också nämnas i avtalsbekräftelsen.</w:t>
      </w:r>
      <w:bookmarkEnd w:id="15"/>
      <w:r>
        <w:rPr>
          <w:rFonts w:ascii="Calibri" w:hAnsi="Calibri" w:cs="Calibri"/>
          <w:sz w:val="22"/>
          <w:szCs w:val="22"/>
          <w:lang w:val="sv"/>
        </w:rPr>
        <w:t xml:space="preserve"> </w:t>
      </w:r>
    </w:p>
    <w:p w14:paraId="327164B4"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Säljaren har rätt att realisera den ställda säkerheten på det sätt han finner bäst för betalning av sina förfallna fordringar. </w:t>
      </w:r>
    </w:p>
    <w:p w14:paraId="43310C68" w14:textId="0D2A906E"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bookmarkStart w:id="16" w:name="_Ref332271486"/>
      <w:r>
        <w:rPr>
          <w:rFonts w:ascii="Calibri" w:hAnsi="Calibri" w:cs="Calibri"/>
          <w:sz w:val="22"/>
          <w:szCs w:val="22"/>
          <w:lang w:val="sv"/>
        </w:rPr>
        <w:t xml:space="preserve">I stället för överlåtelse av säkerhet eller förskott kan användaren och säljaren komma överens om att de i gasförsäljningsavtalet fastställda avgifterna betalas i förskott. För återgång till sedvanligt betalningsschema gäller i tillämpliga delar vad som föreskrivs i punkt </w:t>
      </w:r>
      <w:r>
        <w:rPr>
          <w:rFonts w:ascii="Calibri" w:hAnsi="Calibri" w:cs="Calibri"/>
          <w:sz w:val="22"/>
          <w:szCs w:val="22"/>
          <w:lang w:val="sv"/>
        </w:rPr>
        <w:fldChar w:fldCharType="begin"/>
      </w:r>
      <w:r>
        <w:rPr>
          <w:rFonts w:ascii="Calibri" w:hAnsi="Calibri" w:cs="Calibri"/>
          <w:sz w:val="22"/>
          <w:szCs w:val="22"/>
          <w:lang w:val="sv"/>
        </w:rPr>
        <w:instrText xml:space="preserve"> REF _Ref332271374 \w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5.8</w:t>
      </w:r>
      <w:r>
        <w:rPr>
          <w:rFonts w:ascii="Calibri" w:hAnsi="Calibri" w:cs="Calibri"/>
          <w:sz w:val="22"/>
          <w:szCs w:val="22"/>
          <w:lang w:val="sv"/>
        </w:rPr>
        <w:fldChar w:fldCharType="end"/>
      </w:r>
      <w:r>
        <w:rPr>
          <w:rFonts w:ascii="Calibri" w:hAnsi="Calibri" w:cs="Calibri"/>
          <w:sz w:val="22"/>
          <w:szCs w:val="22"/>
          <w:lang w:val="sv"/>
        </w:rPr>
        <w:t>.</w:t>
      </w:r>
      <w:bookmarkEnd w:id="16"/>
      <w:r>
        <w:rPr>
          <w:rFonts w:ascii="Calibri" w:hAnsi="Calibri" w:cs="Calibri"/>
          <w:sz w:val="22"/>
          <w:szCs w:val="22"/>
          <w:lang w:val="sv"/>
        </w:rPr>
        <w:t xml:space="preserve"> </w:t>
      </w:r>
    </w:p>
    <w:p w14:paraId="4BB5C267" w14:textId="7FCDF66E"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Det är inte fråga om det förskott som avses i detta kapitel eller det förskott som avses i punkt </w:t>
      </w:r>
      <w:r>
        <w:rPr>
          <w:rFonts w:ascii="Calibri" w:hAnsi="Calibri" w:cs="Calibri"/>
          <w:sz w:val="22"/>
          <w:szCs w:val="22"/>
          <w:lang w:val="sv"/>
        </w:rPr>
        <w:fldChar w:fldCharType="begin"/>
      </w:r>
      <w:r>
        <w:rPr>
          <w:rFonts w:ascii="Calibri" w:hAnsi="Calibri" w:cs="Calibri"/>
          <w:sz w:val="22"/>
          <w:szCs w:val="22"/>
          <w:lang w:val="sv"/>
        </w:rPr>
        <w:instrText xml:space="preserve"> REF _Ref332271486 \w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5.11</w:t>
      </w:r>
      <w:r>
        <w:rPr>
          <w:rFonts w:ascii="Calibri" w:hAnsi="Calibri" w:cs="Calibri"/>
          <w:sz w:val="22"/>
          <w:szCs w:val="22"/>
          <w:lang w:val="sv"/>
        </w:rPr>
        <w:fldChar w:fldCharType="end"/>
      </w:r>
      <w:r>
        <w:rPr>
          <w:rFonts w:ascii="Calibri" w:hAnsi="Calibri" w:cs="Calibri"/>
          <w:sz w:val="22"/>
          <w:szCs w:val="22"/>
          <w:lang w:val="sv"/>
        </w:rPr>
        <w:t>, om användaren bland till buds stående produkt- eller betalningssättsalternativ väljer ett alternativ med tyngdpunkten på betalning i förskott.</w:t>
      </w:r>
    </w:p>
    <w:p w14:paraId="13461755" w14:textId="77777777" w:rsidR="00907669" w:rsidRPr="001A1743" w:rsidRDefault="00907669" w:rsidP="00907669">
      <w:pPr>
        <w:pStyle w:val="Leipteksti24"/>
        <w:numPr>
          <w:ilvl w:val="0"/>
          <w:numId w:val="0"/>
        </w:numPr>
        <w:tabs>
          <w:tab w:val="clear" w:pos="-1620"/>
        </w:tabs>
        <w:spacing w:before="0" w:after="0"/>
        <w:outlineLvl w:val="1"/>
        <w:rPr>
          <w:rFonts w:ascii="Calibri" w:hAnsi="Calibri" w:cs="Calibri"/>
          <w:sz w:val="22"/>
          <w:szCs w:val="22"/>
          <w:lang w:val="sv-FI"/>
        </w:rPr>
      </w:pPr>
    </w:p>
    <w:p w14:paraId="16EFD458" w14:textId="441F768A" w:rsidR="00FE01D7" w:rsidRPr="00907669" w:rsidRDefault="00FE01D7" w:rsidP="007D3745">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rPr>
          <w:rFonts w:asciiTheme="majorHAnsi" w:hAnsiTheme="majorHAnsi" w:cs="Calibri"/>
          <w:szCs w:val="28"/>
        </w:rPr>
      </w:pPr>
      <w:bookmarkStart w:id="17" w:name="_Toc27643658"/>
      <w:r>
        <w:rPr>
          <w:rFonts w:asciiTheme="majorHAnsi" w:hAnsiTheme="majorHAnsi" w:cs="Calibri"/>
          <w:szCs w:val="28"/>
          <w:lang w:val="sv"/>
        </w:rPr>
        <w:t>Dröjsmål, fel och ansvarsfrågor</w:t>
      </w:r>
      <w:bookmarkEnd w:id="17"/>
      <w:r>
        <w:rPr>
          <w:rFonts w:asciiTheme="majorHAnsi" w:hAnsiTheme="majorHAnsi" w:cs="Calibri"/>
          <w:szCs w:val="28"/>
          <w:lang w:val="sv"/>
        </w:rPr>
        <w:t xml:space="preserve"> </w:t>
      </w:r>
    </w:p>
    <w:p w14:paraId="10C50A20" w14:textId="39921D8F" w:rsidR="00FE01D7" w:rsidRPr="001A1743" w:rsidRDefault="00FE01D7" w:rsidP="005A08D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Gasförsäljningen och helhetsleveransen är felaktig, om gaskvaliteten eller leveranssättet inte motsvarar det som har avtalats eller kan anses ha avtalats, eller om faktureringen av en konsument är felaktig eller fördröjd. Gasleveransen anses dock inte vara felaktig, om säljaren visar att felaktigheten eller dröjsmålet har berott på en omständighet som han inte råder över och inte heller skäligen kunde ha undvikit eller förhindrat. Om det inte har avtalats om bättre gaskvalitet, är gasdistributionen och den övriga nättjänsten samt gasleveransen felaktig, om gasens kvalitet inte motsvarar de europeiska standarder som allmänt tillämpas i Finland, eller om gasdistributionen eller gasleveransen är kontinuerligt eller upprepade gånger avbruten och avbrottet med beaktande av orsaken och omständigheterna inte kan anses som ringa.</w:t>
      </w:r>
    </w:p>
    <w:p w14:paraId="20A7C7C7" w14:textId="74DF80AD" w:rsidR="00FE01D7" w:rsidRPr="001A1743" w:rsidRDefault="00FE01D7" w:rsidP="005A08D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Om gasförsäljningen inte påbörjas vid den avtalade tidpunkten av en orsak som nätinnehavaren svarar för, ersätter säljaren användaren för den skada som dröjsmålet orsakat, i enlighet med vad som sägs i punkterna </w:t>
      </w:r>
      <w:r>
        <w:rPr>
          <w:rFonts w:ascii="Calibri" w:hAnsi="Calibri" w:cs="Calibri"/>
          <w:sz w:val="22"/>
          <w:szCs w:val="22"/>
          <w:lang w:val="sv"/>
        </w:rPr>
        <w:fldChar w:fldCharType="begin"/>
      </w:r>
      <w:r>
        <w:rPr>
          <w:rFonts w:ascii="Calibri" w:hAnsi="Calibri" w:cs="Calibri"/>
          <w:sz w:val="22"/>
          <w:szCs w:val="22"/>
          <w:lang w:val="sv"/>
        </w:rPr>
        <w:instrText xml:space="preserve"> REF _Ref342297136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6.4</w:t>
      </w:r>
      <w:r>
        <w:rPr>
          <w:rFonts w:ascii="Calibri" w:hAnsi="Calibri" w:cs="Calibri"/>
          <w:sz w:val="22"/>
          <w:szCs w:val="22"/>
          <w:lang w:val="sv"/>
        </w:rPr>
        <w:fldChar w:fldCharType="end"/>
      </w:r>
      <w:r>
        <w:rPr>
          <w:rFonts w:ascii="Calibri" w:hAnsi="Calibri" w:cs="Calibri"/>
          <w:sz w:val="22"/>
          <w:szCs w:val="22"/>
          <w:lang w:val="sv"/>
        </w:rPr>
        <w:t xml:space="preserve"> -</w:t>
      </w:r>
      <w:r>
        <w:rPr>
          <w:rFonts w:ascii="Calibri" w:hAnsi="Calibri" w:cs="Calibri"/>
          <w:sz w:val="22"/>
          <w:szCs w:val="22"/>
          <w:lang w:val="sv"/>
        </w:rPr>
        <w:fldChar w:fldCharType="begin"/>
      </w:r>
      <w:r>
        <w:rPr>
          <w:rFonts w:ascii="Calibri" w:hAnsi="Calibri" w:cs="Calibri"/>
          <w:sz w:val="22"/>
          <w:szCs w:val="22"/>
          <w:lang w:val="sv"/>
        </w:rPr>
        <w:instrText xml:space="preserve"> REF _Ref342297144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6.5</w:t>
      </w:r>
      <w:r>
        <w:rPr>
          <w:rFonts w:ascii="Calibri" w:hAnsi="Calibri" w:cs="Calibri"/>
          <w:sz w:val="22"/>
          <w:szCs w:val="22"/>
          <w:lang w:val="sv"/>
        </w:rPr>
        <w:fldChar w:fldCharType="end"/>
      </w:r>
      <w:r>
        <w:rPr>
          <w:rFonts w:ascii="Calibri" w:hAnsi="Calibri" w:cs="Calibri"/>
          <w:sz w:val="22"/>
          <w:szCs w:val="22"/>
          <w:lang w:val="sv"/>
        </w:rPr>
        <w:t xml:space="preserve"> och </w:t>
      </w:r>
      <w:r>
        <w:rPr>
          <w:rFonts w:ascii="Calibri" w:hAnsi="Calibri" w:cs="Calibri"/>
          <w:sz w:val="22"/>
          <w:szCs w:val="22"/>
          <w:lang w:val="sv"/>
        </w:rPr>
        <w:fldChar w:fldCharType="begin"/>
      </w:r>
      <w:r>
        <w:rPr>
          <w:rFonts w:ascii="Calibri" w:hAnsi="Calibri" w:cs="Calibri"/>
          <w:sz w:val="22"/>
          <w:szCs w:val="22"/>
          <w:lang w:val="sv"/>
        </w:rPr>
        <w:instrText xml:space="preserve"> REF _Ref17874111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6.8</w:t>
      </w:r>
      <w:r>
        <w:rPr>
          <w:rFonts w:ascii="Calibri" w:hAnsi="Calibri" w:cs="Calibri"/>
          <w:sz w:val="22"/>
          <w:szCs w:val="22"/>
          <w:lang w:val="sv"/>
        </w:rPr>
        <w:fldChar w:fldCharType="end"/>
      </w:r>
      <w:r>
        <w:rPr>
          <w:rFonts w:ascii="Calibri" w:hAnsi="Calibri" w:cs="Calibri"/>
          <w:sz w:val="22"/>
          <w:szCs w:val="22"/>
          <w:lang w:val="sv"/>
        </w:rPr>
        <w:t>-</w:t>
      </w:r>
      <w:r>
        <w:rPr>
          <w:rFonts w:ascii="Calibri" w:hAnsi="Calibri" w:cs="Calibri"/>
          <w:sz w:val="22"/>
          <w:szCs w:val="22"/>
          <w:lang w:val="sv"/>
        </w:rPr>
        <w:fldChar w:fldCharType="begin"/>
      </w:r>
      <w:r>
        <w:rPr>
          <w:rFonts w:ascii="Calibri" w:hAnsi="Calibri" w:cs="Calibri"/>
          <w:sz w:val="22"/>
          <w:szCs w:val="22"/>
          <w:lang w:val="sv"/>
        </w:rPr>
        <w:instrText xml:space="preserve"> REF _Ref342297201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6.14</w:t>
      </w:r>
      <w:r>
        <w:rPr>
          <w:rFonts w:ascii="Calibri" w:hAnsi="Calibri" w:cs="Calibri"/>
          <w:sz w:val="22"/>
          <w:szCs w:val="22"/>
          <w:lang w:val="sv"/>
        </w:rPr>
        <w:fldChar w:fldCharType="end"/>
      </w:r>
      <w:r>
        <w:rPr>
          <w:rFonts w:ascii="Calibri" w:hAnsi="Calibri" w:cs="Calibri"/>
          <w:sz w:val="22"/>
          <w:szCs w:val="22"/>
          <w:lang w:val="sv"/>
        </w:rPr>
        <w:t xml:space="preserve">. Användaren är skyldig att betala avgifterna som grundar sig på gasförsäljningsavtalet först från den tidpunkt då gasförsäljningen har påbörjats. Efter att gasförsäljningen påbörjats har användaren rätt att hålla inne betalningen av den del av avgiften som behövs som säkerhet för ersättningskrav </w:t>
      </w:r>
      <w:r>
        <w:rPr>
          <w:rFonts w:ascii="Calibri" w:hAnsi="Calibri" w:cs="Calibri"/>
          <w:sz w:val="22"/>
          <w:szCs w:val="22"/>
          <w:lang w:val="sv"/>
        </w:rPr>
        <w:lastRenderedPageBreak/>
        <w:t xml:space="preserve">på grundval av dröjsmål. Rätten att hålla inne betalning utövas enligt vad som sägs i punkt </w:t>
      </w:r>
      <w:r>
        <w:rPr>
          <w:rFonts w:ascii="Calibri" w:hAnsi="Calibri" w:cs="Calibri"/>
          <w:sz w:val="22"/>
          <w:szCs w:val="22"/>
          <w:lang w:val="sv"/>
        </w:rPr>
        <w:fldChar w:fldCharType="begin"/>
      </w:r>
      <w:r>
        <w:rPr>
          <w:rFonts w:ascii="Calibri" w:hAnsi="Calibri" w:cs="Calibri"/>
          <w:sz w:val="22"/>
          <w:szCs w:val="22"/>
          <w:lang w:val="sv"/>
        </w:rPr>
        <w:instrText xml:space="preserve"> REF _Ref342297226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6.3</w:t>
      </w:r>
      <w:r>
        <w:rPr>
          <w:rFonts w:ascii="Calibri" w:hAnsi="Calibri" w:cs="Calibri"/>
          <w:sz w:val="22"/>
          <w:szCs w:val="22"/>
          <w:lang w:val="sv"/>
        </w:rPr>
        <w:fldChar w:fldCharType="end"/>
      </w:r>
      <w:r>
        <w:rPr>
          <w:rFonts w:ascii="Calibri" w:hAnsi="Calibri" w:cs="Calibri"/>
          <w:sz w:val="22"/>
          <w:szCs w:val="22"/>
          <w:lang w:val="sv"/>
        </w:rPr>
        <w:t xml:space="preserve">. </w:t>
      </w:r>
    </w:p>
    <w:p w14:paraId="5FA7DD0E"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bookmarkStart w:id="18" w:name="_Ref342297226"/>
      <w:r>
        <w:rPr>
          <w:rFonts w:ascii="Calibri" w:hAnsi="Calibri" w:cs="Calibri"/>
          <w:sz w:val="22"/>
          <w:szCs w:val="22"/>
          <w:lang w:val="sv"/>
        </w:rPr>
        <w:t>Från den faktura som sänds efter att ärendet klarats upp drar säljaren av de gasförsäljningsavgifter som influtit under det dröjsmål som kommit till säljarens kännedom. Om det inte längre är möjligt att göra avdrag på fakturan till exempel för att avtalsförhållandet har upphört, återbetalas beloppet på annat sätt.</w:t>
      </w:r>
      <w:bookmarkEnd w:id="18"/>
      <w:r>
        <w:rPr>
          <w:rFonts w:ascii="Calibri" w:hAnsi="Calibri" w:cs="Calibri"/>
          <w:sz w:val="22"/>
          <w:szCs w:val="22"/>
          <w:lang w:val="sv"/>
        </w:rPr>
        <w:t xml:space="preserve"> </w:t>
      </w:r>
    </w:p>
    <w:p w14:paraId="45D85207" w14:textId="02655408" w:rsidR="00FE01D7" w:rsidRPr="00650068" w:rsidRDefault="00FE01D7" w:rsidP="00907669">
      <w:pPr>
        <w:pStyle w:val="Leipteksti24"/>
        <w:numPr>
          <w:ilvl w:val="2"/>
          <w:numId w:val="1"/>
        </w:numPr>
        <w:tabs>
          <w:tab w:val="clear" w:pos="-1620"/>
        </w:tabs>
        <w:ind w:left="2609" w:hanging="1191"/>
        <w:rPr>
          <w:rFonts w:ascii="Calibri" w:hAnsi="Calibri" w:cs="Calibri"/>
          <w:sz w:val="22"/>
          <w:szCs w:val="22"/>
        </w:rPr>
      </w:pPr>
      <w:r>
        <w:rPr>
          <w:rFonts w:ascii="Calibri" w:hAnsi="Calibri" w:cs="Calibri"/>
          <w:sz w:val="22"/>
          <w:szCs w:val="22"/>
          <w:lang w:val="sv"/>
        </w:rPr>
        <w:t xml:space="preserve">Om användaren vill säkerställa att den för dröjsmålstiden influtna avgiften som avses i punkt </w:t>
      </w:r>
      <w:r>
        <w:rPr>
          <w:rFonts w:ascii="Calibri" w:hAnsi="Calibri" w:cs="Calibri"/>
          <w:sz w:val="22"/>
          <w:szCs w:val="22"/>
          <w:lang w:val="sv"/>
        </w:rPr>
        <w:fldChar w:fldCharType="begin"/>
      </w:r>
      <w:r>
        <w:rPr>
          <w:rFonts w:ascii="Calibri" w:hAnsi="Calibri" w:cs="Calibri"/>
          <w:sz w:val="22"/>
          <w:szCs w:val="22"/>
          <w:lang w:val="sv"/>
        </w:rPr>
        <w:instrText xml:space="preserve"> REF _Ref342297226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6.3</w:t>
      </w:r>
      <w:r>
        <w:rPr>
          <w:rFonts w:ascii="Calibri" w:hAnsi="Calibri" w:cs="Calibri"/>
          <w:sz w:val="22"/>
          <w:szCs w:val="22"/>
          <w:lang w:val="sv"/>
        </w:rPr>
        <w:fldChar w:fldCharType="end"/>
      </w:r>
      <w:r>
        <w:rPr>
          <w:rFonts w:ascii="Calibri" w:hAnsi="Calibri" w:cs="Calibri"/>
          <w:sz w:val="22"/>
          <w:szCs w:val="22"/>
          <w:lang w:val="sv"/>
        </w:rPr>
        <w:t xml:space="preserve"> dras av från hans faktura, ska han skriftligen meddela säljaren om sitt krav på detta. Vid behov kan säljaren begära att kravet kompletteras skriftligen. </w:t>
      </w:r>
    </w:p>
    <w:p w14:paraId="16CFBE9F" w14:textId="2C846455"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bookmarkStart w:id="19" w:name="_Ref342297136"/>
      <w:r>
        <w:rPr>
          <w:rFonts w:ascii="Calibri" w:hAnsi="Calibri" w:cs="Calibri"/>
          <w:sz w:val="22"/>
          <w:szCs w:val="22"/>
          <w:lang w:val="sv"/>
        </w:rPr>
        <w:t>Skada som beror på dröjsmål ersätts inte, om säljaren visar att dröjsmålet berodde på hinder utanför hans kontroll som han skäligen inte kunde förväntas ha beaktat då försäljningsavtalet ingicks och vars följder han inte heller skäligen kunde ha undvikit eller övervunnit.</w:t>
      </w:r>
      <w:bookmarkEnd w:id="19"/>
    </w:p>
    <w:p w14:paraId="3AD098B4" w14:textId="5AA5B15F"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bookmarkStart w:id="20" w:name="_Ref342297144"/>
      <w:r>
        <w:rPr>
          <w:rFonts w:ascii="Calibri" w:hAnsi="Calibri" w:cs="Calibri"/>
          <w:sz w:val="22"/>
          <w:szCs w:val="22"/>
          <w:lang w:val="sv"/>
        </w:rPr>
        <w:t xml:space="preserve">Om dröjsmålet beror på tredje part som säljaren har anlitat för att fullgöra gasförsäljningsavtalet, befrias säljaren från sin ersättningsskyldighet endast om denna tredje part är fri från ansvar enligt punkt </w:t>
      </w:r>
      <w:r>
        <w:rPr>
          <w:rFonts w:ascii="Calibri" w:hAnsi="Calibri" w:cs="Calibri"/>
          <w:sz w:val="22"/>
          <w:szCs w:val="22"/>
          <w:lang w:val="sv"/>
        </w:rPr>
        <w:fldChar w:fldCharType="begin"/>
      </w:r>
      <w:r>
        <w:rPr>
          <w:rFonts w:ascii="Calibri" w:hAnsi="Calibri" w:cs="Calibri"/>
          <w:sz w:val="22"/>
          <w:szCs w:val="22"/>
          <w:lang w:val="sv"/>
        </w:rPr>
        <w:instrText xml:space="preserve"> REF _Ref342297136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6.4</w:t>
      </w:r>
      <w:r>
        <w:rPr>
          <w:rFonts w:ascii="Calibri" w:hAnsi="Calibri" w:cs="Calibri"/>
          <w:sz w:val="22"/>
          <w:szCs w:val="22"/>
          <w:lang w:val="sv"/>
        </w:rPr>
        <w:fldChar w:fldCharType="end"/>
      </w:r>
      <w:r>
        <w:rPr>
          <w:rFonts w:ascii="Calibri" w:hAnsi="Calibri" w:cs="Calibri"/>
          <w:sz w:val="22"/>
          <w:szCs w:val="22"/>
          <w:lang w:val="sv"/>
        </w:rPr>
        <w:t xml:space="preserve">. </w:t>
      </w:r>
      <w:bookmarkEnd w:id="20"/>
    </w:p>
    <w:p w14:paraId="6F7EFB0B"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Säljaren är inte ansvarig för fel i nättjänsten. Användaren ska utan dröjsmål när han upptäckt eller borde ha upptäckt felet meddela nätinnehavaren om sina krav som beror på ett eventuellt avbrott eller en eventuell kvalitetsavvikelse i nättjänsten. </w:t>
      </w:r>
    </w:p>
    <w:p w14:paraId="7571C409" w14:textId="483010A8"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Om gastillförseln till användaren avbryts eller upphör i strid med gasförsäljningsavtalet av en orsak på säljarens sida, ersätter säljaren användaren för den skada detta orsakat i enlighet med punkterna </w:t>
      </w:r>
      <w:r>
        <w:rPr>
          <w:rFonts w:ascii="Calibri" w:hAnsi="Calibri" w:cs="Calibri"/>
          <w:sz w:val="22"/>
          <w:szCs w:val="22"/>
          <w:lang w:val="sv"/>
        </w:rPr>
        <w:fldChar w:fldCharType="begin"/>
      </w:r>
      <w:r>
        <w:rPr>
          <w:rFonts w:ascii="Calibri" w:hAnsi="Calibri" w:cs="Calibri"/>
          <w:sz w:val="22"/>
          <w:szCs w:val="22"/>
          <w:lang w:val="sv"/>
        </w:rPr>
        <w:instrText xml:space="preserve"> REF _Ref17874111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6.8</w:t>
      </w:r>
      <w:r>
        <w:rPr>
          <w:rFonts w:ascii="Calibri" w:hAnsi="Calibri" w:cs="Calibri"/>
          <w:sz w:val="22"/>
          <w:szCs w:val="22"/>
          <w:lang w:val="sv"/>
        </w:rPr>
        <w:fldChar w:fldCharType="end"/>
      </w:r>
      <w:r>
        <w:rPr>
          <w:rFonts w:ascii="Calibri" w:hAnsi="Calibri" w:cs="Calibri"/>
          <w:sz w:val="22"/>
          <w:szCs w:val="22"/>
          <w:lang w:val="sv"/>
        </w:rPr>
        <w:t>-</w:t>
      </w:r>
      <w:r>
        <w:rPr>
          <w:rFonts w:ascii="Calibri" w:hAnsi="Calibri" w:cs="Calibri"/>
          <w:sz w:val="22"/>
          <w:szCs w:val="22"/>
          <w:lang w:val="sv"/>
        </w:rPr>
        <w:fldChar w:fldCharType="begin"/>
      </w:r>
      <w:r>
        <w:rPr>
          <w:rFonts w:ascii="Calibri" w:hAnsi="Calibri" w:cs="Calibri"/>
          <w:sz w:val="22"/>
          <w:szCs w:val="22"/>
          <w:lang w:val="sv"/>
        </w:rPr>
        <w:instrText xml:space="preserve"> REF _Ref342297201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6.14</w:t>
      </w:r>
      <w:r>
        <w:rPr>
          <w:rFonts w:ascii="Calibri" w:hAnsi="Calibri" w:cs="Calibri"/>
          <w:sz w:val="22"/>
          <w:szCs w:val="22"/>
          <w:lang w:val="sv"/>
        </w:rPr>
        <w:fldChar w:fldCharType="end"/>
      </w:r>
      <w:r>
        <w:rPr>
          <w:rFonts w:ascii="Calibri" w:hAnsi="Calibri" w:cs="Calibri"/>
          <w:sz w:val="22"/>
          <w:szCs w:val="22"/>
          <w:lang w:val="sv"/>
        </w:rPr>
        <w:t>.</w:t>
      </w:r>
    </w:p>
    <w:p w14:paraId="4A4A7B05" w14:textId="2AB651D9" w:rsidR="00530A29" w:rsidRPr="001A1743" w:rsidRDefault="002313C4" w:rsidP="00907669">
      <w:pPr>
        <w:pStyle w:val="Leipteksti24"/>
        <w:numPr>
          <w:ilvl w:val="1"/>
          <w:numId w:val="1"/>
        </w:numPr>
        <w:tabs>
          <w:tab w:val="clear" w:pos="-1620"/>
        </w:tabs>
        <w:ind w:left="1304" w:hanging="737"/>
        <w:rPr>
          <w:rFonts w:ascii="Calibri" w:hAnsi="Calibri" w:cs="Calibri"/>
          <w:sz w:val="22"/>
          <w:szCs w:val="22"/>
          <w:lang w:val="sv-FI"/>
        </w:rPr>
      </w:pPr>
      <w:bookmarkStart w:id="21" w:name="_Ref17874111"/>
      <w:r>
        <w:rPr>
          <w:rFonts w:ascii="Calibri" w:hAnsi="Calibri" w:cs="Calibri"/>
          <w:sz w:val="22"/>
          <w:szCs w:val="22"/>
          <w:lang w:val="sv"/>
        </w:rPr>
        <w:t>Säljaren ersätter användaren för skada som ska ersättas enligt detta kapitel, på de grunder och med de begränsningar som nämns längre fram i detta kapitel.</w:t>
      </w:r>
      <w:bookmarkEnd w:id="21"/>
    </w:p>
    <w:p w14:paraId="5DE94522" w14:textId="60C289B8"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bookmarkStart w:id="22" w:name="_Hlk23262816"/>
      <w:r>
        <w:rPr>
          <w:rFonts w:ascii="Calibri" w:hAnsi="Calibri" w:cs="Calibri"/>
          <w:sz w:val="22"/>
          <w:szCs w:val="22"/>
          <w:lang w:val="sv"/>
        </w:rPr>
        <w:t xml:space="preserve">Användaren har rätt till ersättning för indirekt skada bara om dröjsmålet eller felet beror på vårdslöshet på säljarens sida. Säljaren har rätt att kräva att användaren skriftligen motiverar sina specificerade krav. Om användaren inte är en konsument och annat inte har  överenskommits mellan avtalsparterna, är maximibeloppet för säljarens skadestånd för indirekt skada ett belopp som motsvarar användarens sammanlagda gasförsäljningsavgifter för ett år, dock högst 8.500,00 euro. Om säljaren har gjort sig skyldig till uppsåtlighet eller grov vårdslöshet, tillämpas ingen begränsning av skadeståndets maximibelopp. </w:t>
      </w:r>
    </w:p>
    <w:p w14:paraId="590E0596" w14:textId="5FD2EA72"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bookmarkStart w:id="23" w:name="_Ref17873925"/>
      <w:bookmarkEnd w:id="22"/>
      <w:r>
        <w:rPr>
          <w:rFonts w:ascii="Calibri" w:hAnsi="Calibri" w:cs="Calibri"/>
          <w:sz w:val="22"/>
          <w:szCs w:val="22"/>
          <w:lang w:val="sv"/>
        </w:rPr>
        <w:t>Som indirekt skada anses i dessa villkor:</w:t>
      </w:r>
      <w:bookmarkEnd w:id="23"/>
      <w:r>
        <w:rPr>
          <w:rFonts w:ascii="Calibri" w:hAnsi="Calibri" w:cs="Calibri"/>
          <w:sz w:val="22"/>
          <w:szCs w:val="22"/>
          <w:lang w:val="sv"/>
        </w:rPr>
        <w:t xml:space="preserve"> </w:t>
      </w:r>
    </w:p>
    <w:p w14:paraId="09F93C56" w14:textId="65383BDB" w:rsidR="00FE01D7" w:rsidRPr="001A1743" w:rsidRDefault="00FE01D7" w:rsidP="00907669">
      <w:pPr>
        <w:pStyle w:val="Leipteksti24"/>
        <w:numPr>
          <w:ilvl w:val="2"/>
          <w:numId w:val="20"/>
        </w:numPr>
        <w:tabs>
          <w:tab w:val="clear" w:pos="-1620"/>
        </w:tabs>
        <w:ind w:left="2609" w:hanging="1191"/>
        <w:rPr>
          <w:rFonts w:ascii="Calibri" w:hAnsi="Calibri" w:cs="Calibri"/>
          <w:sz w:val="22"/>
          <w:szCs w:val="22"/>
          <w:lang w:val="sv-FI"/>
        </w:rPr>
      </w:pPr>
      <w:r>
        <w:rPr>
          <w:rFonts w:ascii="Calibri" w:hAnsi="Calibri" w:cs="Calibri"/>
          <w:sz w:val="22"/>
          <w:szCs w:val="22"/>
          <w:lang w:val="sv"/>
        </w:rPr>
        <w:t xml:space="preserve">inkomstförlust som orsakas användaren på grund av dröjsmål eller fel eller åtgärder till följd av dessa; </w:t>
      </w:r>
    </w:p>
    <w:p w14:paraId="398C77D9" w14:textId="77777777" w:rsidR="00FE01D7" w:rsidRPr="001A1743" w:rsidRDefault="00FE01D7" w:rsidP="00907669">
      <w:pPr>
        <w:pStyle w:val="Leipteksti24"/>
        <w:numPr>
          <w:ilvl w:val="2"/>
          <w:numId w:val="20"/>
        </w:numPr>
        <w:tabs>
          <w:tab w:val="clear" w:pos="-1620"/>
        </w:tabs>
        <w:ind w:left="2609" w:hanging="1191"/>
        <w:rPr>
          <w:rFonts w:ascii="Calibri" w:hAnsi="Calibri" w:cs="Calibri"/>
          <w:sz w:val="22"/>
          <w:szCs w:val="22"/>
          <w:lang w:val="sv-FI"/>
        </w:rPr>
      </w:pPr>
      <w:r>
        <w:rPr>
          <w:rFonts w:ascii="Calibri" w:hAnsi="Calibri" w:cs="Calibri"/>
          <w:sz w:val="22"/>
          <w:szCs w:val="22"/>
          <w:lang w:val="sv"/>
        </w:rPr>
        <w:t xml:space="preserve">skada som beror på förpliktelse som grundar sig på något annat avtal; </w:t>
      </w:r>
    </w:p>
    <w:p w14:paraId="5CDE9A0B" w14:textId="77777777" w:rsidR="00FE01D7" w:rsidRPr="001A1743" w:rsidRDefault="00FE01D7" w:rsidP="00907669">
      <w:pPr>
        <w:pStyle w:val="Leipteksti24"/>
        <w:numPr>
          <w:ilvl w:val="2"/>
          <w:numId w:val="20"/>
        </w:numPr>
        <w:tabs>
          <w:tab w:val="clear" w:pos="-1620"/>
        </w:tabs>
        <w:ind w:left="2609" w:hanging="1191"/>
        <w:rPr>
          <w:rFonts w:ascii="Calibri" w:hAnsi="Calibri" w:cs="Calibri"/>
          <w:sz w:val="22"/>
          <w:szCs w:val="22"/>
          <w:lang w:val="sv-FI"/>
        </w:rPr>
      </w:pPr>
      <w:r>
        <w:rPr>
          <w:rFonts w:ascii="Calibri" w:hAnsi="Calibri" w:cs="Calibri"/>
          <w:sz w:val="22"/>
          <w:szCs w:val="22"/>
          <w:lang w:val="sv"/>
        </w:rPr>
        <w:t xml:space="preserve">väsentlig förlust av driftsställets bruksnytta, om förlusten dock inte medför direkt ekonomisk skada, samt annan jämförbar väsentlig olägenhet; </w:t>
      </w:r>
    </w:p>
    <w:p w14:paraId="62C88C82" w14:textId="77777777" w:rsidR="00FE01D7" w:rsidRPr="001A1743" w:rsidRDefault="00FE01D7" w:rsidP="00907669">
      <w:pPr>
        <w:pStyle w:val="Leipteksti24"/>
        <w:numPr>
          <w:ilvl w:val="2"/>
          <w:numId w:val="20"/>
        </w:numPr>
        <w:tabs>
          <w:tab w:val="clear" w:pos="-1620"/>
        </w:tabs>
        <w:ind w:left="2609" w:hanging="1191"/>
        <w:rPr>
          <w:rFonts w:ascii="Calibri" w:hAnsi="Calibri" w:cs="Calibri"/>
          <w:sz w:val="22"/>
          <w:szCs w:val="22"/>
          <w:lang w:val="sv-FI"/>
        </w:rPr>
      </w:pPr>
      <w:r>
        <w:rPr>
          <w:rFonts w:ascii="Calibri" w:hAnsi="Calibri" w:cs="Calibri"/>
          <w:sz w:val="22"/>
          <w:szCs w:val="22"/>
          <w:lang w:val="sv"/>
        </w:rPr>
        <w:t xml:space="preserve">skada på egendom som någon annan användare än en konsument lider, om skadan beror på avbrott i gasförsäljningen som orsakat driftstörning eller </w:t>
      </w:r>
      <w:r>
        <w:rPr>
          <w:rFonts w:ascii="Calibri" w:hAnsi="Calibri" w:cs="Calibri"/>
          <w:sz w:val="22"/>
          <w:szCs w:val="22"/>
          <w:lang w:val="sv"/>
        </w:rPr>
        <w:lastRenderedPageBreak/>
        <w:t xml:space="preserve">driftstopp i användarens anordning eller anläggning eller avbrott i användarens verksamhet, eller ekonomisk följdskada eller förlust av samma orsak; och </w:t>
      </w:r>
    </w:p>
    <w:p w14:paraId="42C34260" w14:textId="77777777" w:rsidR="00FE01D7" w:rsidRPr="001A1743" w:rsidRDefault="00FE01D7" w:rsidP="00907669">
      <w:pPr>
        <w:pStyle w:val="Leipteksti24"/>
        <w:numPr>
          <w:ilvl w:val="2"/>
          <w:numId w:val="20"/>
        </w:numPr>
        <w:tabs>
          <w:tab w:val="clear" w:pos="-1620"/>
        </w:tabs>
        <w:ind w:left="2609" w:hanging="1191"/>
        <w:rPr>
          <w:rFonts w:ascii="Calibri" w:hAnsi="Calibri" w:cs="Calibri"/>
          <w:sz w:val="22"/>
          <w:szCs w:val="22"/>
          <w:lang w:val="sv-FI"/>
        </w:rPr>
      </w:pPr>
      <w:bookmarkStart w:id="24" w:name="_Ref342297360"/>
      <w:r>
        <w:rPr>
          <w:rFonts w:ascii="Calibri" w:hAnsi="Calibri" w:cs="Calibri"/>
          <w:sz w:val="22"/>
          <w:szCs w:val="22"/>
          <w:lang w:val="sv"/>
        </w:rPr>
        <w:t>annan liknande skada som är svår att förutse.</w:t>
      </w:r>
      <w:bookmarkEnd w:id="24"/>
      <w:r>
        <w:rPr>
          <w:rFonts w:ascii="Calibri" w:hAnsi="Calibri" w:cs="Calibri"/>
          <w:sz w:val="22"/>
          <w:szCs w:val="22"/>
          <w:lang w:val="sv"/>
        </w:rPr>
        <w:t xml:space="preserve"> </w:t>
      </w:r>
    </w:p>
    <w:p w14:paraId="57D62CF9"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En konsument har rätt till ersättning också för skada som hans eller hennes familj eller familjemedlem lidit på samma grunder som för skada som konsumenten själv lidit.</w:t>
      </w:r>
    </w:p>
    <w:p w14:paraId="5931D7C5" w14:textId="7E078291" w:rsidR="00FE01D7" w:rsidRPr="001A1743" w:rsidRDefault="00FE01D7" w:rsidP="005A08D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För att förhindra skada och då sådan sker eller hotar ska avtalsparterna för att avvärja eller begränsa skadan alltid vidta alla sådana åtgärder som man rimligen kan kräva och förvänta sig. Om en användare orsakar skada genom eget handlande, eller om användarens gasanordningar inte överensstämmer med lagstiftning och i Finland allmänt tillämpade standarder och detta har bidragit till skadans uppkomst eller omfattning, är säljaren inte skyldig att ersätta skadan. </w:t>
      </w:r>
    </w:p>
    <w:p w14:paraId="02ED3D23" w14:textId="1BEDFF4F" w:rsidR="00FE01D7" w:rsidRPr="001A1743" w:rsidRDefault="00FE01D7" w:rsidP="005A08D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Om en användare försummar sin skyldighet att vidta skäliga åtgärder för att begränsa sin skada, får han själv lida motsvarande del av skadan. Om användarens försummelse kan anses ringa, kan emellertid den del som faller på användarens ansvar nedsättas till denna del. Skada som vållats en avtalspart genom begränsande av sådan skada som ska ersättas enligt dessa villkor ska ersättas.</w:t>
      </w:r>
    </w:p>
    <w:p w14:paraId="0CBC7C0B"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bookmarkStart w:id="25" w:name="_Ref342297201"/>
      <w:r>
        <w:rPr>
          <w:rFonts w:ascii="Calibri" w:hAnsi="Calibri" w:cs="Calibri"/>
          <w:sz w:val="22"/>
          <w:szCs w:val="22"/>
          <w:lang w:val="sv"/>
        </w:rPr>
        <w:t>Säljaren är inte skyldig att med stöd av dessa villkor ersätta sådan skada som användaren eller någon annan ska ersättas för på någon annan grund, till exempel i samband med gasnättjänsten.</w:t>
      </w:r>
      <w:bookmarkEnd w:id="25"/>
    </w:p>
    <w:p w14:paraId="35EF6A6B" w14:textId="446F5DDC" w:rsidR="00D339BF" w:rsidRPr="001A1743" w:rsidRDefault="00D339BF"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Om dröjsmålet i gasleveransen eller avbrottet i gasförsäljningen beror på en orsak på användarens sida som är att räkna som vårdslöshet, är användaren skyldig att ersätta säljaren för annan än indirekt skada som detta vållat säljaren. Som indirekt skada för säljaren anses skada som är att jämställa med indirekt skada för användaren enligt </w:t>
      </w:r>
      <w:r>
        <w:rPr>
          <w:rFonts w:ascii="Calibri" w:hAnsi="Calibri" w:cs="Calibri"/>
          <w:sz w:val="22"/>
          <w:szCs w:val="22"/>
          <w:lang w:val="sv"/>
        </w:rPr>
        <w:fldChar w:fldCharType="begin"/>
      </w:r>
      <w:r>
        <w:rPr>
          <w:rFonts w:ascii="Calibri" w:hAnsi="Calibri" w:cs="Calibri"/>
          <w:sz w:val="22"/>
          <w:szCs w:val="22"/>
          <w:lang w:val="sv"/>
        </w:rPr>
        <w:instrText xml:space="preserve"> REF _Ref17873925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6.10</w:t>
      </w:r>
      <w:r>
        <w:rPr>
          <w:rFonts w:ascii="Calibri" w:hAnsi="Calibri" w:cs="Calibri"/>
          <w:sz w:val="22"/>
          <w:szCs w:val="22"/>
          <w:lang w:val="sv"/>
        </w:rPr>
        <w:fldChar w:fldCharType="end"/>
      </w:r>
      <w:r>
        <w:rPr>
          <w:rFonts w:ascii="Calibri" w:hAnsi="Calibri" w:cs="Calibri"/>
          <w:sz w:val="22"/>
          <w:szCs w:val="22"/>
          <w:lang w:val="sv"/>
        </w:rPr>
        <w:t>.</w:t>
      </w:r>
    </w:p>
    <w:p w14:paraId="18234A4E" w14:textId="77777777" w:rsidR="00907669" w:rsidRPr="001A1743" w:rsidRDefault="00907669" w:rsidP="00907669">
      <w:pPr>
        <w:pStyle w:val="Leipteksti24"/>
        <w:numPr>
          <w:ilvl w:val="0"/>
          <w:numId w:val="0"/>
        </w:numPr>
        <w:tabs>
          <w:tab w:val="clear" w:pos="-1620"/>
        </w:tabs>
        <w:spacing w:before="0" w:after="0"/>
        <w:outlineLvl w:val="1"/>
        <w:rPr>
          <w:rFonts w:ascii="Calibri" w:hAnsi="Calibri" w:cs="Calibri"/>
          <w:sz w:val="22"/>
          <w:szCs w:val="22"/>
          <w:lang w:val="sv-FI"/>
        </w:rPr>
      </w:pPr>
    </w:p>
    <w:p w14:paraId="3CD25C18" w14:textId="793AA267" w:rsidR="00FE01D7" w:rsidRPr="00907669" w:rsidRDefault="00FE01D7" w:rsidP="007D3745">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rPr>
          <w:rFonts w:asciiTheme="majorHAnsi" w:hAnsiTheme="majorHAnsi" w:cs="Calibri"/>
          <w:szCs w:val="28"/>
        </w:rPr>
      </w:pPr>
      <w:bookmarkStart w:id="26" w:name="_Toc27643659"/>
      <w:r>
        <w:rPr>
          <w:rFonts w:asciiTheme="majorHAnsi" w:hAnsiTheme="majorHAnsi" w:cs="Calibri"/>
          <w:szCs w:val="28"/>
          <w:lang w:val="sv"/>
        </w:rPr>
        <w:t>Avbrott i gasförsäljningen</w:t>
      </w:r>
      <w:bookmarkEnd w:id="26"/>
    </w:p>
    <w:p w14:paraId="6D23DAA9" w14:textId="147FC844" w:rsidR="00FE01D7" w:rsidRPr="00650068" w:rsidRDefault="00FE01D7" w:rsidP="00907669">
      <w:pPr>
        <w:pStyle w:val="Leipteksti24"/>
        <w:numPr>
          <w:ilvl w:val="1"/>
          <w:numId w:val="1"/>
        </w:numPr>
        <w:tabs>
          <w:tab w:val="clear" w:pos="-1620"/>
        </w:tabs>
        <w:ind w:left="1304" w:hanging="737"/>
        <w:rPr>
          <w:rFonts w:ascii="Calibri" w:hAnsi="Calibri" w:cs="Calibri"/>
          <w:sz w:val="22"/>
          <w:szCs w:val="22"/>
        </w:rPr>
      </w:pPr>
      <w:r>
        <w:rPr>
          <w:rFonts w:ascii="Calibri" w:hAnsi="Calibri" w:cs="Calibri"/>
          <w:sz w:val="22"/>
          <w:szCs w:val="22"/>
          <w:lang w:val="sv"/>
        </w:rPr>
        <w:t>Säljaren har rätt att avbryta gasförsäljningen, om användaren i väsentlig grad försummar att betala säljarens fordringar eller annars i väsentlig grad försummar sina skyldigheter enligt gasförsäljningsavtalet. Nätinnehavaren verkställer avbrottet i försäljningen på säljarens beställning.</w:t>
      </w:r>
    </w:p>
    <w:p w14:paraId="13886C59" w14:textId="341DB302" w:rsidR="00FE01D7" w:rsidRPr="00650068" w:rsidRDefault="007D3745" w:rsidP="00907669">
      <w:pPr>
        <w:pStyle w:val="Leipteksti24"/>
        <w:numPr>
          <w:ilvl w:val="0"/>
          <w:numId w:val="0"/>
        </w:numPr>
        <w:tabs>
          <w:tab w:val="clear" w:pos="-1620"/>
        </w:tabs>
        <w:ind w:left="1304" w:hanging="737"/>
        <w:rPr>
          <w:rFonts w:ascii="Calibri" w:hAnsi="Calibri" w:cs="Calibri"/>
          <w:sz w:val="22"/>
          <w:szCs w:val="22"/>
        </w:rPr>
      </w:pPr>
      <w:r>
        <w:rPr>
          <w:lang w:val="sv"/>
        </w:rPr>
        <w:tab/>
      </w:r>
    </w:p>
    <w:p w14:paraId="73B15BFC"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Säljaren sänder användaren en skriftlig påminnelse om att rätta till avtalsbrottet, det vill säga betala den förfallna fordran eller rätta till annan försummelse inom den tid som anges i påminnelsen och som är minst två veckor efter att påminnelsen har sänts. Om en avgiftsbelagd påminnelse sänds till en kund som är en konsument, kan påminnelse sändas tidigast två veckor efter den ursprungliga förfallodagen. Om användaren trots påminnelsen inte rättar till sin avtalsförsummelse inom tidsfristen, sänder säljaren ett skriftligt varsel om avbrott till användarens faktureringsadress eller till någon annan särskilt överenskommen adress. Av avbrottsvarslet framgår tidpunkten när gasförsäljningen kommer att avbrytas. Användaren måste rätta till avtalsbrottet i god tid före den angivna tiden för att undgå avbrottet. Avbrottsvarslet sänds till användaren minst två veckor före avbrottet i gasförsäljningen. Avbrottet kan verkställas tidigast fem veckor efter den ursprungliga förfallodagen eller från det att användaren för första gången har meddelats om annat </w:t>
      </w:r>
      <w:r>
        <w:rPr>
          <w:rFonts w:ascii="Calibri" w:hAnsi="Calibri" w:cs="Calibri"/>
          <w:sz w:val="22"/>
          <w:szCs w:val="22"/>
          <w:lang w:val="sv"/>
        </w:rPr>
        <w:lastRenderedPageBreak/>
        <w:t xml:space="preserve">avtalsbrott och om behovet att rätta till det. Om en avgiftsbelagd påminnelse har sänts till en användare som är en konsument, kan avbrottet verkställas tidigast sex veckor efter den ursprungliga förfallodagen. </w:t>
      </w:r>
    </w:p>
    <w:p w14:paraId="7622C196"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Om betalningsförsummelsen har berott på betalningssvårigheter som en konsument har råkat i på grund av allvarlig sjukdom, arbetslöshet eller annan särskild omständighet huvudsakligen utan egen förskyllan, får gasförsäljningen avbrytas tidigast 60 dagar efter avgiftens förfallodag. </w:t>
      </w:r>
    </w:p>
    <w:p w14:paraId="2E699F30"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Konsumenten ska meddela säljaren om hindret att betala fakturan så snart han fått kännedom om det, och såvitt möjligt före förfallodagen. </w:t>
      </w:r>
    </w:p>
    <w:p w14:paraId="250CCC7B"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Gasförsäljningen till en byggnad som används som stadigvarande bostad eller till en del av en sådan, där uppvärmningen är beroende av gas, får dock inte avbrytas trots obetalda avgifter under tiden från ingången av oktober till utgången av april innan 120 dagar har förflutit från förfallodagen för den obetalda avgiften. </w:t>
      </w:r>
    </w:p>
    <w:p w14:paraId="770D4E91"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Om användarens betalningsförsummelse beror på oöverstigligt hinder, kan gasförsäljningen inte avbrytas så länge hindret kvarstår. </w:t>
      </w:r>
    </w:p>
    <w:p w14:paraId="548C003E" w14:textId="1AEF5755"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Om gasförsäljningen avbryts av en orsak som beror på användaren eller nätinnehavaren, befrias användaren inte från sina betalnings- eller andra skyldigheter gentemot säljaren och har inte rätt att framställa anspråk på säljaren med anledning av avbrottet.</w:t>
      </w:r>
    </w:p>
    <w:p w14:paraId="19F23633"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Säljaren har rätt att av användaren kräva en skälig avgift enligt gällande prislista för skriftlig påminnelse och avbrottsvarsel. Användaren är skyldig att ersätta säljaren för de avgifter denna betalat för att avbryta och återuppta gasförsäljningen jämte handläggningskostnader enligt prislista.</w:t>
      </w:r>
    </w:p>
    <w:p w14:paraId="7C15F6AD" w14:textId="72199044"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Gasförsäljningen fortsätter efter att anledningen till avbrottet har avlägsnats. Säljaren är dock inte skyldig att återuppta gasförsäljningen förrän användaren har betalat de avgifter och kostnader som föranletts av avbrottet och återupptagandet samt säljarens förfallna fordringar</w:t>
      </w:r>
      <w:r>
        <w:rPr>
          <w:rFonts w:ascii="Calibri" w:hAnsi="Calibri" w:cs="Calibri"/>
          <w:color w:val="0000FF"/>
          <w:sz w:val="22"/>
          <w:szCs w:val="22"/>
          <w:lang w:val="sv"/>
        </w:rPr>
        <w:t xml:space="preserve"> </w:t>
      </w:r>
      <w:r>
        <w:rPr>
          <w:rFonts w:ascii="Calibri" w:hAnsi="Calibri" w:cs="Calibri"/>
          <w:sz w:val="22"/>
          <w:szCs w:val="22"/>
          <w:lang w:val="sv"/>
        </w:rPr>
        <w:t>och krävd säkerhet.</w:t>
      </w:r>
    </w:p>
    <w:p w14:paraId="59C0785D" w14:textId="77777777" w:rsidR="00907669" w:rsidRPr="001A1743" w:rsidRDefault="00907669" w:rsidP="00907669">
      <w:pPr>
        <w:pStyle w:val="Leipteksti24"/>
        <w:numPr>
          <w:ilvl w:val="0"/>
          <w:numId w:val="0"/>
        </w:numPr>
        <w:tabs>
          <w:tab w:val="clear" w:pos="-1620"/>
        </w:tabs>
        <w:spacing w:before="0" w:after="0"/>
        <w:outlineLvl w:val="1"/>
        <w:rPr>
          <w:rFonts w:ascii="Calibri" w:hAnsi="Calibri" w:cs="Calibri"/>
          <w:sz w:val="22"/>
          <w:szCs w:val="22"/>
          <w:lang w:val="sv-FI"/>
        </w:rPr>
      </w:pPr>
    </w:p>
    <w:p w14:paraId="71A534DE" w14:textId="2E92D7BC" w:rsidR="00FE01D7" w:rsidRPr="001A1743" w:rsidRDefault="00FE01D7" w:rsidP="007D3745">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rPr>
          <w:rFonts w:asciiTheme="majorHAnsi" w:hAnsiTheme="majorHAnsi" w:cs="Calibri"/>
          <w:szCs w:val="28"/>
          <w:lang w:val="sv-FI"/>
        </w:rPr>
      </w:pPr>
      <w:bookmarkStart w:id="27" w:name="_Toc27643660"/>
      <w:r>
        <w:rPr>
          <w:rFonts w:asciiTheme="majorHAnsi" w:hAnsiTheme="majorHAnsi" w:cs="Calibri"/>
          <w:szCs w:val="28"/>
          <w:lang w:val="sv"/>
        </w:rPr>
        <w:t>Ändring av villkor och priser i gasförsäljningsavtal</w:t>
      </w:r>
      <w:bookmarkEnd w:id="27"/>
    </w:p>
    <w:p w14:paraId="69EA29BF"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Avtalsparterna kan tillsammans komma överens om ändringar i ett inbördes försäljningsavtal.</w:t>
      </w:r>
    </w:p>
    <w:p w14:paraId="57508364"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Om inte annat överenskommits i försäljningsavtalet mellan säljaren och användaren, har säljaren rätt att ändra avtalsvillkor och priser som omfattas av leveransskyldighet så att de motsvarar ändringar i kostnaderna eller kostnadsstrukturen och så att prissättningen också efter ändringen motsvarar det krav på skälig prissättning som förutsätts i lagstiftningen. På grundval av denna punkt kan försäljningsavtalet inte ändras så att avtalets innehåll i väsentlig grad förändras.</w:t>
      </w:r>
    </w:p>
    <w:p w14:paraId="4D887F92" w14:textId="7D18C74D" w:rsidR="00016D14" w:rsidRPr="001A1743" w:rsidRDefault="00016D14"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Säljaren har rätt att ändra avtalsvillkoren och priserna i försäljningsavtalet, om orsaken är: </w:t>
      </w:r>
    </w:p>
    <w:p w14:paraId="033A6ABA" w14:textId="32D6AA85" w:rsidR="00016D14" w:rsidRPr="001A1743" w:rsidRDefault="00016D14" w:rsidP="00907669">
      <w:pPr>
        <w:pStyle w:val="Leipteksti24"/>
        <w:numPr>
          <w:ilvl w:val="0"/>
          <w:numId w:val="0"/>
        </w:numPr>
        <w:tabs>
          <w:tab w:val="clear" w:pos="-1620"/>
        </w:tabs>
        <w:ind w:left="1304"/>
        <w:rPr>
          <w:rFonts w:ascii="Calibri" w:hAnsi="Calibri" w:cs="Calibri"/>
          <w:sz w:val="22"/>
          <w:szCs w:val="22"/>
          <w:lang w:val="sv-FI"/>
        </w:rPr>
      </w:pPr>
      <w:r>
        <w:rPr>
          <w:rFonts w:ascii="Calibri" w:hAnsi="Calibri" w:cs="Calibri"/>
          <w:sz w:val="22"/>
          <w:szCs w:val="22"/>
          <w:lang w:val="sv"/>
        </w:rPr>
        <w:t xml:space="preserve">• säljarens kostnader för gasanskaffning och överföringskapacitet; </w:t>
      </w:r>
    </w:p>
    <w:p w14:paraId="3ECB72E1" w14:textId="77777777" w:rsidR="00016D14" w:rsidRPr="001A1743" w:rsidRDefault="00016D14" w:rsidP="00907669">
      <w:pPr>
        <w:pStyle w:val="Leipteksti24"/>
        <w:numPr>
          <w:ilvl w:val="0"/>
          <w:numId w:val="0"/>
        </w:numPr>
        <w:tabs>
          <w:tab w:val="clear" w:pos="-1620"/>
        </w:tabs>
        <w:ind w:left="1304"/>
        <w:rPr>
          <w:rFonts w:ascii="Calibri" w:hAnsi="Calibri" w:cs="Calibri"/>
          <w:sz w:val="22"/>
          <w:szCs w:val="22"/>
          <w:lang w:val="sv-FI"/>
        </w:rPr>
      </w:pPr>
      <w:r>
        <w:rPr>
          <w:rFonts w:ascii="Calibri" w:hAnsi="Calibri" w:cs="Calibri"/>
          <w:sz w:val="22"/>
          <w:szCs w:val="22"/>
          <w:lang w:val="sv"/>
        </w:rPr>
        <w:t xml:space="preserve">• förändringar i kostnaderna på grund av begränsningar i överföringskapaciteten; eller </w:t>
      </w:r>
    </w:p>
    <w:p w14:paraId="39878364" w14:textId="77777777" w:rsidR="00016D14" w:rsidRPr="001A1743" w:rsidRDefault="00016D14" w:rsidP="00907669">
      <w:pPr>
        <w:pStyle w:val="Leipteksti24"/>
        <w:numPr>
          <w:ilvl w:val="0"/>
          <w:numId w:val="0"/>
        </w:numPr>
        <w:tabs>
          <w:tab w:val="clear" w:pos="-1620"/>
        </w:tabs>
        <w:ind w:left="1304"/>
        <w:rPr>
          <w:rFonts w:ascii="Calibri" w:hAnsi="Calibri" w:cs="Calibri"/>
          <w:sz w:val="22"/>
          <w:szCs w:val="22"/>
          <w:lang w:val="sv-FI"/>
        </w:rPr>
      </w:pPr>
      <w:r>
        <w:rPr>
          <w:rFonts w:ascii="Calibri" w:hAnsi="Calibri" w:cs="Calibri"/>
          <w:sz w:val="22"/>
          <w:szCs w:val="22"/>
          <w:lang w:val="sv"/>
        </w:rPr>
        <w:lastRenderedPageBreak/>
        <w:t xml:space="preserve">• förändringar i arbetskraftskostnaderna eller andra driftskostnader i anslutning till gasförsäljningen samt förändringar i kostnaderna för andra funktioner som är nödvändiga för att kunna verkställa gasförsäljningen. På grundval av denna punkt kan villkoren i försäljningsavtalet inte ändras så att försäljningsavtalets innehåll i väsentlig grad förändras. </w:t>
      </w:r>
    </w:p>
    <w:p w14:paraId="708ED00F" w14:textId="638D29BF" w:rsidR="00016D14" w:rsidRPr="001A1743" w:rsidRDefault="00016D14" w:rsidP="00907669">
      <w:pPr>
        <w:pStyle w:val="Leipteksti24"/>
        <w:numPr>
          <w:ilvl w:val="0"/>
          <w:numId w:val="0"/>
        </w:numPr>
        <w:tabs>
          <w:tab w:val="clear" w:pos="-1620"/>
        </w:tabs>
        <w:ind w:left="1304"/>
        <w:rPr>
          <w:rFonts w:ascii="Calibri" w:hAnsi="Calibri" w:cs="Calibri"/>
          <w:sz w:val="22"/>
          <w:szCs w:val="22"/>
          <w:lang w:val="sv-FI"/>
        </w:rPr>
      </w:pPr>
      <w:r>
        <w:rPr>
          <w:rFonts w:ascii="Calibri" w:hAnsi="Calibri" w:cs="Calibri"/>
          <w:sz w:val="22"/>
          <w:szCs w:val="22"/>
          <w:lang w:val="sv"/>
        </w:rPr>
        <w:t xml:space="preserve">Ett tidsbundet försäljningsavtal får dock inte ändras på grundval av denna punkt. </w:t>
      </w:r>
    </w:p>
    <w:p w14:paraId="324250D9" w14:textId="24E13705" w:rsidR="00016D14" w:rsidRPr="001A1743" w:rsidRDefault="00016D14"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Säljaren har rätt att ändra avtalsvillkoren och priserna, om ändringen baserar sig på en lagändring eller ett myndighetsbeslut som säljaren inte har kunnat beakta då försäljningsavtalet ingicks. </w:t>
      </w:r>
    </w:p>
    <w:p w14:paraId="4FE2033C" w14:textId="28304A4F" w:rsidR="00016D14" w:rsidRPr="001A1743" w:rsidRDefault="00016D14"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Säljaren kan ändra priserna och de övriga avtalsvillkoren även på grundval av en lagändring eller ett myndighetsbeslut som har varit känt då avtalet ingicks, förutsatt att ändringen inte i väsentlig grad ändrar priserna eller annat innehåll i försäljningsavtalet. </w:t>
      </w:r>
    </w:p>
    <w:p w14:paraId="0486B3EA" w14:textId="1300C328" w:rsidR="00016D14" w:rsidRPr="001A1743" w:rsidRDefault="00016D14"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Säljaren har dessutom rätt att ändra avtalsvillkoren och priserna, om det finns särskilda skäl till ändringen, </w:t>
      </w:r>
    </w:p>
    <w:p w14:paraId="1D28207E" w14:textId="77777777" w:rsidR="00016D14" w:rsidRPr="001A1743" w:rsidRDefault="00016D14" w:rsidP="00907669">
      <w:pPr>
        <w:pStyle w:val="Leipteksti24"/>
        <w:numPr>
          <w:ilvl w:val="0"/>
          <w:numId w:val="0"/>
        </w:numPr>
        <w:tabs>
          <w:tab w:val="clear" w:pos="-1620"/>
        </w:tabs>
        <w:ind w:left="1304"/>
        <w:rPr>
          <w:rFonts w:ascii="Calibri" w:hAnsi="Calibri" w:cs="Calibri"/>
          <w:sz w:val="22"/>
          <w:szCs w:val="22"/>
          <w:lang w:val="sv-FI"/>
        </w:rPr>
      </w:pPr>
      <w:r>
        <w:rPr>
          <w:rFonts w:ascii="Calibri" w:hAnsi="Calibri" w:cs="Calibri"/>
          <w:sz w:val="22"/>
          <w:szCs w:val="22"/>
          <w:lang w:val="sv"/>
        </w:rPr>
        <w:t xml:space="preserve">• till följd av en väsentlig förändring i förhållandena; </w:t>
      </w:r>
    </w:p>
    <w:p w14:paraId="7C0F4D2A" w14:textId="77777777" w:rsidR="00016D14" w:rsidRPr="001A1743" w:rsidRDefault="00016D14" w:rsidP="00907669">
      <w:pPr>
        <w:pStyle w:val="Leipteksti24"/>
        <w:numPr>
          <w:ilvl w:val="0"/>
          <w:numId w:val="0"/>
        </w:numPr>
        <w:tabs>
          <w:tab w:val="clear" w:pos="-1620"/>
        </w:tabs>
        <w:ind w:left="1304"/>
        <w:rPr>
          <w:rFonts w:ascii="Calibri" w:hAnsi="Calibri" w:cs="Calibri"/>
          <w:sz w:val="22"/>
          <w:szCs w:val="22"/>
          <w:lang w:val="sv-FI"/>
        </w:rPr>
      </w:pPr>
      <w:r>
        <w:rPr>
          <w:rFonts w:ascii="Calibri" w:hAnsi="Calibri" w:cs="Calibri"/>
          <w:sz w:val="22"/>
          <w:szCs w:val="22"/>
          <w:lang w:val="sv"/>
        </w:rPr>
        <w:t xml:space="preserve">• översyn av föråldrade avtals- eller prissättningsarrangemang eller </w:t>
      </w:r>
    </w:p>
    <w:p w14:paraId="186CAD8B" w14:textId="77777777" w:rsidR="00016D14" w:rsidRPr="001A1743" w:rsidRDefault="00016D14" w:rsidP="00907669">
      <w:pPr>
        <w:pStyle w:val="Leipteksti24"/>
        <w:numPr>
          <w:ilvl w:val="0"/>
          <w:numId w:val="0"/>
        </w:numPr>
        <w:tabs>
          <w:tab w:val="clear" w:pos="-1620"/>
        </w:tabs>
        <w:ind w:left="1304"/>
        <w:rPr>
          <w:rFonts w:ascii="Calibri" w:hAnsi="Calibri" w:cs="Calibri"/>
          <w:sz w:val="22"/>
          <w:szCs w:val="22"/>
          <w:lang w:val="sv-FI"/>
        </w:rPr>
      </w:pPr>
      <w:r>
        <w:rPr>
          <w:rFonts w:ascii="Calibri" w:hAnsi="Calibri" w:cs="Calibri"/>
          <w:sz w:val="22"/>
          <w:szCs w:val="22"/>
          <w:lang w:val="sv"/>
        </w:rPr>
        <w:t xml:space="preserve">• åtgärder som behövs för energisparandet. </w:t>
      </w:r>
    </w:p>
    <w:p w14:paraId="0B193B0E" w14:textId="15EF4D14" w:rsidR="00016D14" w:rsidRPr="001A1743" w:rsidRDefault="00016D14" w:rsidP="00907669">
      <w:pPr>
        <w:pStyle w:val="Leipteksti24"/>
        <w:numPr>
          <w:ilvl w:val="0"/>
          <w:numId w:val="0"/>
        </w:numPr>
        <w:tabs>
          <w:tab w:val="clear" w:pos="-1620"/>
        </w:tabs>
        <w:ind w:left="1304"/>
        <w:rPr>
          <w:rFonts w:ascii="Calibri" w:hAnsi="Calibri" w:cs="Calibri"/>
          <w:sz w:val="22"/>
          <w:szCs w:val="22"/>
          <w:lang w:val="sv-FI"/>
        </w:rPr>
      </w:pPr>
      <w:r>
        <w:rPr>
          <w:rFonts w:ascii="Calibri" w:hAnsi="Calibri" w:cs="Calibri"/>
          <w:sz w:val="22"/>
          <w:szCs w:val="22"/>
          <w:lang w:val="sv"/>
        </w:rPr>
        <w:t xml:space="preserve">Denna punkt tillämpas inte på ett tidsbundet försäljningsavtal. </w:t>
      </w:r>
    </w:p>
    <w:p w14:paraId="435CF69A" w14:textId="77777777" w:rsidR="00AE194E" w:rsidRPr="001A1743" w:rsidRDefault="00016D14"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Säljaren har rätt att göra sådana små ändringar i avtalsvillkoren som inte påverkar det centrala innehållet i avtalsförhållandet. </w:t>
      </w:r>
    </w:p>
    <w:p w14:paraId="25FAD806" w14:textId="78D2A04F"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Säljaren ska sända användaren ett meddelande om hur och från vilken tidpunkt priserna eller andra avtalsvillkor ändras och vad som ligger till grund för ändringen. I meddelandet ska det nämnas huruvida avtalsparten har rätt att säga upp avtalet. Om grunden är något annat än en lagändring eller ett myndighetsbeslut, får ändringen träda i kraft tidigast 30 dagar efter att meddelandet sändes. Meddelandet sänds till användarens faktureringsadress eller till någon annan särskilt överenskommen adress. En konsument har rätt att säga upp avtalet, om konsumenten inte godkänner avtalsändringen.</w:t>
      </w:r>
    </w:p>
    <w:p w14:paraId="233E32A0"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Om ändringen grundar sig på en lagändring eller ett myndighetsbeslut, ska säljaren verkställa ändringen från den dag då ändringen eller beslutet träder i</w:t>
      </w:r>
      <w:r>
        <w:rPr>
          <w:rFonts w:ascii="Calibri" w:hAnsi="Calibri" w:cs="Calibri"/>
          <w:color w:val="0000FF"/>
          <w:sz w:val="22"/>
          <w:szCs w:val="22"/>
          <w:lang w:val="sv"/>
        </w:rPr>
        <w:t xml:space="preserve"> </w:t>
      </w:r>
      <w:r>
        <w:rPr>
          <w:rFonts w:ascii="Calibri" w:hAnsi="Calibri" w:cs="Calibri"/>
          <w:sz w:val="22"/>
          <w:szCs w:val="22"/>
          <w:lang w:val="sv"/>
        </w:rPr>
        <w:t>kraft. Säljaren ska så snart som möjligt meddela om ändringar som görs på dessa grunder.</w:t>
      </w:r>
    </w:p>
    <w:p w14:paraId="2428F2CD" w14:textId="489C175C"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Om priset på gasenergi är bundet till ett eller flera referensvärden (t.ex. index) som avtalsparterna inte kan påverka, anses förändringar i dessa värden inte som ovan avsedda ändringar av priser eller avtalsvillkor.</w:t>
      </w:r>
    </w:p>
    <w:p w14:paraId="2738EE4E" w14:textId="77777777" w:rsidR="00907669" w:rsidRPr="001A1743" w:rsidRDefault="00907669" w:rsidP="00907669">
      <w:pPr>
        <w:pStyle w:val="Leipteksti24"/>
        <w:numPr>
          <w:ilvl w:val="0"/>
          <w:numId w:val="0"/>
        </w:numPr>
        <w:tabs>
          <w:tab w:val="clear" w:pos="-1620"/>
        </w:tabs>
        <w:spacing w:before="0" w:after="0"/>
        <w:outlineLvl w:val="1"/>
        <w:rPr>
          <w:rFonts w:ascii="Calibri" w:hAnsi="Calibri" w:cs="Calibri"/>
          <w:sz w:val="22"/>
          <w:szCs w:val="22"/>
          <w:lang w:val="sv-FI"/>
        </w:rPr>
      </w:pPr>
    </w:p>
    <w:p w14:paraId="51F771AC" w14:textId="0D36C47C" w:rsidR="00FE01D7" w:rsidRPr="00907669" w:rsidRDefault="00FE01D7" w:rsidP="007D3745">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rPr>
          <w:rFonts w:asciiTheme="majorHAnsi" w:hAnsiTheme="majorHAnsi" w:cs="Calibri"/>
          <w:szCs w:val="28"/>
        </w:rPr>
      </w:pPr>
      <w:bookmarkStart w:id="28" w:name="_Toc27643661"/>
      <w:r>
        <w:rPr>
          <w:rFonts w:asciiTheme="majorHAnsi" w:hAnsiTheme="majorHAnsi" w:cs="Calibri"/>
          <w:szCs w:val="28"/>
          <w:lang w:val="sv"/>
        </w:rPr>
        <w:t>Överföring och upphörande av gasförsäljningsavtal</w:t>
      </w:r>
      <w:bookmarkEnd w:id="28"/>
    </w:p>
    <w:p w14:paraId="1CD0AD1A"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Användaren kan inte överföra försäljningsavtalet på tredje part</w:t>
      </w:r>
      <w:r>
        <w:rPr>
          <w:rFonts w:ascii="Calibri" w:hAnsi="Calibri" w:cs="Calibri"/>
          <w:color w:val="0000FF"/>
          <w:sz w:val="22"/>
          <w:szCs w:val="22"/>
          <w:lang w:val="sv"/>
        </w:rPr>
        <w:t xml:space="preserve"> </w:t>
      </w:r>
      <w:r>
        <w:rPr>
          <w:rFonts w:ascii="Calibri" w:hAnsi="Calibri" w:cs="Calibri"/>
          <w:sz w:val="22"/>
          <w:szCs w:val="22"/>
          <w:lang w:val="sv"/>
        </w:rPr>
        <w:t>utan säljarens skriftliga samtycke.</w:t>
      </w:r>
    </w:p>
    <w:p w14:paraId="2ABCAC5F" w14:textId="6EEE1ADF" w:rsidR="00FE01D7" w:rsidRPr="001A1743" w:rsidRDefault="00FE01D7" w:rsidP="005B67B8">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Säljaren har rätt att överföra försäljningsavtalet på tredje part. Villkoren i gasförsäljningsavtalet kan inte ändras vid överföringen. Den nya säljaren ska skriftligen </w:t>
      </w:r>
      <w:r>
        <w:rPr>
          <w:rFonts w:ascii="Calibri" w:hAnsi="Calibri" w:cs="Calibri"/>
          <w:sz w:val="22"/>
          <w:szCs w:val="22"/>
          <w:lang w:val="sv"/>
        </w:rPr>
        <w:lastRenderedPageBreak/>
        <w:t>meddela kunden om överföringen så snart som möjligt, dock senast inom 30 dagar från överföringen.</w:t>
      </w:r>
    </w:p>
    <w:p w14:paraId="232D859D" w14:textId="7E99171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Ett tidsbundet gasförsäljningsavtal upphör då den avtalade tiden gått ut eller på grund av hävning, om inte annat föranleds av punkterna </w:t>
      </w:r>
      <w:r>
        <w:rPr>
          <w:rFonts w:ascii="Calibri" w:hAnsi="Calibri" w:cs="Calibri"/>
          <w:sz w:val="22"/>
          <w:szCs w:val="22"/>
          <w:lang w:val="sv"/>
        </w:rPr>
        <w:fldChar w:fldCharType="begin"/>
      </w:r>
      <w:r>
        <w:rPr>
          <w:rFonts w:ascii="Calibri" w:hAnsi="Calibri" w:cs="Calibri"/>
          <w:sz w:val="22"/>
          <w:szCs w:val="22"/>
          <w:lang w:val="sv"/>
        </w:rPr>
        <w:instrText xml:space="preserve"> REF _Ref342294287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9.3.1</w:t>
      </w:r>
      <w:r>
        <w:rPr>
          <w:rFonts w:ascii="Calibri" w:hAnsi="Calibri" w:cs="Calibri"/>
          <w:sz w:val="22"/>
          <w:szCs w:val="22"/>
          <w:lang w:val="sv"/>
        </w:rPr>
        <w:fldChar w:fldCharType="end"/>
      </w:r>
      <w:r>
        <w:rPr>
          <w:rFonts w:ascii="Calibri" w:hAnsi="Calibri" w:cs="Calibri"/>
          <w:sz w:val="22"/>
          <w:szCs w:val="22"/>
          <w:lang w:val="sv"/>
        </w:rPr>
        <w:t xml:space="preserve">- </w:t>
      </w:r>
      <w:r>
        <w:rPr>
          <w:rFonts w:ascii="Calibri" w:hAnsi="Calibri" w:cs="Calibri"/>
          <w:sz w:val="22"/>
          <w:szCs w:val="22"/>
          <w:lang w:val="sv"/>
        </w:rPr>
        <w:fldChar w:fldCharType="begin"/>
      </w:r>
      <w:r>
        <w:rPr>
          <w:rFonts w:ascii="Calibri" w:hAnsi="Calibri" w:cs="Calibri"/>
          <w:sz w:val="22"/>
          <w:szCs w:val="22"/>
          <w:lang w:val="sv"/>
        </w:rPr>
        <w:instrText xml:space="preserve"> REF _Ref342294306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9.3.7</w:t>
      </w:r>
      <w:r>
        <w:rPr>
          <w:rFonts w:ascii="Calibri" w:hAnsi="Calibri" w:cs="Calibri"/>
          <w:sz w:val="22"/>
          <w:szCs w:val="22"/>
          <w:lang w:val="sv"/>
        </w:rPr>
        <w:fldChar w:fldCharType="end"/>
      </w:r>
      <w:r>
        <w:rPr>
          <w:rFonts w:ascii="Calibri" w:hAnsi="Calibri" w:cs="Calibri"/>
          <w:sz w:val="22"/>
          <w:szCs w:val="22"/>
          <w:lang w:val="sv"/>
        </w:rPr>
        <w:t xml:space="preserve">. </w:t>
      </w:r>
    </w:p>
    <w:p w14:paraId="246BAE5B" w14:textId="7903F309" w:rsidR="00FE01D7" w:rsidRPr="001A1743" w:rsidRDefault="00FE01D7" w:rsidP="00907669">
      <w:pPr>
        <w:pStyle w:val="Leipteksti24"/>
        <w:numPr>
          <w:ilvl w:val="2"/>
          <w:numId w:val="1"/>
        </w:numPr>
        <w:tabs>
          <w:tab w:val="clear" w:pos="-1620"/>
        </w:tabs>
        <w:ind w:left="2609" w:hanging="1191"/>
        <w:rPr>
          <w:rFonts w:ascii="Calibri" w:hAnsi="Calibri" w:cs="Calibri"/>
          <w:sz w:val="22"/>
          <w:szCs w:val="22"/>
          <w:lang w:val="sv-FI"/>
        </w:rPr>
      </w:pPr>
      <w:bookmarkStart w:id="29" w:name="_Ref342294287"/>
      <w:r>
        <w:rPr>
          <w:rFonts w:ascii="Calibri" w:hAnsi="Calibri" w:cs="Calibri"/>
          <w:sz w:val="22"/>
          <w:szCs w:val="22"/>
          <w:lang w:val="sv"/>
        </w:rPr>
        <w:t>Om inte annat avtalats, fortsätter ett tidsbundet försäljningsavtal efter avtalstidens utgång som ett tillsvidareavtal, om inget nytt försäljningsavtal har ingåtts mellan säljaren och användaren eller om ingendera avtalsparten har sagt upp avtalet med 14 dagars uppsägningstid.</w:t>
      </w:r>
      <w:bookmarkEnd w:id="29"/>
      <w:r>
        <w:rPr>
          <w:rFonts w:ascii="Calibri" w:hAnsi="Calibri" w:cs="Calibri"/>
          <w:sz w:val="22"/>
          <w:szCs w:val="22"/>
          <w:lang w:val="sv"/>
        </w:rPr>
        <w:t xml:space="preserve"> </w:t>
      </w:r>
    </w:p>
    <w:p w14:paraId="520C9620" w14:textId="77777777" w:rsidR="00FE01D7" w:rsidRPr="001A1743" w:rsidRDefault="00FE01D7" w:rsidP="00907669">
      <w:pPr>
        <w:pStyle w:val="Leipteksti24"/>
        <w:numPr>
          <w:ilvl w:val="2"/>
          <w:numId w:val="1"/>
        </w:numPr>
        <w:tabs>
          <w:tab w:val="clear" w:pos="-1620"/>
        </w:tabs>
        <w:ind w:left="2609" w:hanging="1191"/>
        <w:rPr>
          <w:rFonts w:ascii="Calibri" w:hAnsi="Calibri" w:cs="Calibri"/>
          <w:sz w:val="22"/>
          <w:szCs w:val="22"/>
          <w:lang w:val="sv-FI"/>
        </w:rPr>
      </w:pPr>
      <w:r>
        <w:rPr>
          <w:rFonts w:ascii="Calibri" w:hAnsi="Calibri" w:cs="Calibri"/>
          <w:sz w:val="22"/>
          <w:szCs w:val="22"/>
          <w:lang w:val="sv"/>
        </w:rPr>
        <w:t xml:space="preserve">En konsument får säga upp ett tidsbundet gasförsäljningsavtal som ingåtts för längre tid än två år med två veckors uppsägningstid, när försäljningsavtalet har varit i kraft i två år. </w:t>
      </w:r>
    </w:p>
    <w:p w14:paraId="47E824E3" w14:textId="77777777" w:rsidR="00FE01D7" w:rsidRPr="001A1743" w:rsidRDefault="00FE01D7" w:rsidP="00907669">
      <w:pPr>
        <w:pStyle w:val="Leipteksti24"/>
        <w:numPr>
          <w:ilvl w:val="2"/>
          <w:numId w:val="1"/>
        </w:numPr>
        <w:tabs>
          <w:tab w:val="clear" w:pos="-1620"/>
        </w:tabs>
        <w:ind w:left="2609" w:hanging="1191"/>
        <w:rPr>
          <w:rFonts w:ascii="Calibri" w:hAnsi="Calibri" w:cs="Calibri"/>
          <w:sz w:val="22"/>
          <w:szCs w:val="22"/>
          <w:lang w:val="sv-FI"/>
        </w:rPr>
      </w:pPr>
      <w:r>
        <w:rPr>
          <w:rFonts w:ascii="Calibri" w:hAnsi="Calibri" w:cs="Calibri"/>
          <w:sz w:val="22"/>
          <w:szCs w:val="22"/>
          <w:lang w:val="sv"/>
        </w:rPr>
        <w:t xml:space="preserve">Utanför leveransskyldigheten kan det också ingås ett sådant tidsbundet försäljningsavtal som fortsätter att gälla under en ny avtalsperiod, om inte avtalsparten meddelar att han vill frigöra sig från avtalet. </w:t>
      </w:r>
    </w:p>
    <w:p w14:paraId="2FDBFB72" w14:textId="77777777" w:rsidR="00FE01D7" w:rsidRPr="001A1743" w:rsidRDefault="006722F8" w:rsidP="00907669">
      <w:pPr>
        <w:pStyle w:val="Leipteksti24"/>
        <w:numPr>
          <w:ilvl w:val="2"/>
          <w:numId w:val="1"/>
        </w:numPr>
        <w:tabs>
          <w:tab w:val="clear" w:pos="-1620"/>
        </w:tabs>
        <w:ind w:left="2609" w:hanging="1191"/>
        <w:rPr>
          <w:rFonts w:ascii="Calibri" w:hAnsi="Calibri" w:cs="Calibri"/>
          <w:sz w:val="22"/>
          <w:szCs w:val="22"/>
          <w:lang w:val="sv-FI"/>
        </w:rPr>
      </w:pPr>
      <w:r>
        <w:rPr>
          <w:rFonts w:ascii="Calibri" w:hAnsi="Calibri" w:cs="Calibri"/>
          <w:sz w:val="22"/>
          <w:szCs w:val="22"/>
          <w:lang w:val="sv"/>
        </w:rPr>
        <w:tab/>
        <w:t xml:space="preserve">Säljaren ska sända en konsument meddelande om att en ny avtalsperiod börjar minst 30 dagar före den tidpunkt då konsumenten senast kan frigöra sig från avtalet för en ny avtalsperiod. </w:t>
      </w:r>
    </w:p>
    <w:p w14:paraId="254A1C3B" w14:textId="77777777" w:rsidR="00FE01D7" w:rsidRPr="001A1743" w:rsidRDefault="006722F8" w:rsidP="00907669">
      <w:pPr>
        <w:pStyle w:val="Leipteksti24"/>
        <w:numPr>
          <w:ilvl w:val="2"/>
          <w:numId w:val="1"/>
        </w:numPr>
        <w:tabs>
          <w:tab w:val="clear" w:pos="-1620"/>
        </w:tabs>
        <w:ind w:left="2609" w:hanging="1191"/>
        <w:rPr>
          <w:rFonts w:ascii="Calibri" w:hAnsi="Calibri" w:cs="Calibri"/>
          <w:sz w:val="22"/>
          <w:szCs w:val="22"/>
          <w:lang w:val="sv-FI"/>
        </w:rPr>
      </w:pPr>
      <w:r>
        <w:rPr>
          <w:rFonts w:ascii="Calibri" w:hAnsi="Calibri" w:cs="Calibri"/>
          <w:sz w:val="22"/>
          <w:szCs w:val="22"/>
          <w:lang w:val="sv"/>
        </w:rPr>
        <w:tab/>
        <w:t xml:space="preserve">Den rätt som en konsument enligt föregående punkt har att säga upp ett tidsbundet försäljningsavtal börjar när två år gått efter att den första avtalsperioden enligt samma avtal började. När ett tidsbundet avtal som ingåtts för två år eller längre tid går ut krävs konsumentens uttryckliga samtycke för att ingå ett nytt tidsbundet avtal. </w:t>
      </w:r>
    </w:p>
    <w:p w14:paraId="2729D8C7" w14:textId="77777777" w:rsidR="00FE01D7" w:rsidRPr="001A1743" w:rsidRDefault="00FE01D7" w:rsidP="00907669">
      <w:pPr>
        <w:pStyle w:val="Leipteksti24"/>
        <w:numPr>
          <w:ilvl w:val="2"/>
          <w:numId w:val="1"/>
        </w:numPr>
        <w:tabs>
          <w:tab w:val="clear" w:pos="-1620"/>
        </w:tabs>
        <w:ind w:left="2609" w:hanging="1191"/>
        <w:rPr>
          <w:rFonts w:ascii="Calibri" w:hAnsi="Calibri" w:cs="Calibri"/>
          <w:sz w:val="22"/>
          <w:szCs w:val="22"/>
          <w:lang w:val="sv-FI"/>
        </w:rPr>
      </w:pPr>
      <w:r>
        <w:rPr>
          <w:rFonts w:ascii="Calibri" w:hAnsi="Calibri" w:cs="Calibri"/>
          <w:sz w:val="22"/>
          <w:szCs w:val="22"/>
          <w:lang w:val="sv"/>
        </w:rPr>
        <w:t xml:space="preserve">Vardera avtalsparten får dock alltid med två veckors uppsägningstid säga upp ett tidsbundet gasförsäljningsavtal, när driftsstället byts ut till exempel på grund av att användaren flyttar, om inte annat avtalats. </w:t>
      </w:r>
    </w:p>
    <w:p w14:paraId="0B6E1FDD" w14:textId="50426D59" w:rsidR="00FE01D7" w:rsidRPr="001A1743" w:rsidRDefault="00FE01D7" w:rsidP="00907669">
      <w:pPr>
        <w:pStyle w:val="Leipteksti24"/>
        <w:numPr>
          <w:ilvl w:val="2"/>
          <w:numId w:val="1"/>
        </w:numPr>
        <w:tabs>
          <w:tab w:val="clear" w:pos="-1620"/>
        </w:tabs>
        <w:ind w:left="2609" w:hanging="1191"/>
        <w:rPr>
          <w:rFonts w:ascii="Calibri" w:hAnsi="Calibri" w:cs="Calibri"/>
          <w:sz w:val="22"/>
          <w:szCs w:val="22"/>
          <w:lang w:val="sv-FI"/>
        </w:rPr>
      </w:pPr>
      <w:bookmarkStart w:id="30" w:name="_Ref342294306"/>
      <w:r>
        <w:rPr>
          <w:rFonts w:ascii="Calibri" w:hAnsi="Calibri" w:cs="Calibri"/>
          <w:sz w:val="22"/>
          <w:szCs w:val="22"/>
          <w:lang w:val="sv"/>
        </w:rPr>
        <w:t>En konsument får säga upp ett tidsbundet gasförsäljningsavtal, om konsumentens gasbehov har förändrats i väsentlig grad på grund av att konsumenten insjuknat allvarligt eller en nära anhörig dött eller därmed jämförbara vägande skäl och om det då skulle vara oskäligt för konsumenten att gasförsäljningsavtalet fortsätter.</w:t>
      </w:r>
      <w:bookmarkEnd w:id="30"/>
      <w:r>
        <w:rPr>
          <w:rFonts w:ascii="Calibri" w:hAnsi="Calibri" w:cs="Calibri"/>
          <w:sz w:val="22"/>
          <w:szCs w:val="22"/>
          <w:lang w:val="sv"/>
        </w:rPr>
        <w:t xml:space="preserve"> </w:t>
      </w:r>
    </w:p>
    <w:p w14:paraId="1AC92566" w14:textId="11630B64"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Om ett tidsbundet försäljningsavtal upphör före den utsatta tiden av en orsak som beror på användaren i andra än de fall som nämns i punkterna </w:t>
      </w:r>
      <w:r>
        <w:rPr>
          <w:rFonts w:ascii="Calibri" w:hAnsi="Calibri" w:cs="Calibri"/>
          <w:sz w:val="22"/>
          <w:szCs w:val="22"/>
          <w:lang w:val="sv"/>
        </w:rPr>
        <w:fldChar w:fldCharType="begin"/>
      </w:r>
      <w:r>
        <w:rPr>
          <w:rFonts w:ascii="Calibri" w:hAnsi="Calibri" w:cs="Calibri"/>
          <w:sz w:val="22"/>
          <w:szCs w:val="22"/>
          <w:lang w:val="sv"/>
        </w:rPr>
        <w:instrText xml:space="preserve"> REF _Ref342294287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9.3.1</w:t>
      </w:r>
      <w:r>
        <w:rPr>
          <w:rFonts w:ascii="Calibri" w:hAnsi="Calibri" w:cs="Calibri"/>
          <w:sz w:val="22"/>
          <w:szCs w:val="22"/>
          <w:lang w:val="sv"/>
        </w:rPr>
        <w:fldChar w:fldCharType="end"/>
      </w:r>
      <w:r>
        <w:rPr>
          <w:rFonts w:ascii="Calibri" w:hAnsi="Calibri" w:cs="Calibri"/>
          <w:sz w:val="22"/>
          <w:szCs w:val="22"/>
          <w:lang w:val="sv"/>
        </w:rPr>
        <w:t>—</w:t>
      </w:r>
      <w:r>
        <w:rPr>
          <w:rFonts w:ascii="Calibri" w:hAnsi="Calibri" w:cs="Calibri"/>
          <w:sz w:val="22"/>
          <w:szCs w:val="22"/>
          <w:lang w:val="sv"/>
        </w:rPr>
        <w:fldChar w:fldCharType="begin"/>
      </w:r>
      <w:r>
        <w:rPr>
          <w:rFonts w:ascii="Calibri" w:hAnsi="Calibri" w:cs="Calibri"/>
          <w:sz w:val="22"/>
          <w:szCs w:val="22"/>
          <w:lang w:val="sv"/>
        </w:rPr>
        <w:instrText xml:space="preserve"> REF _Ref342294306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9.3.7</w:t>
      </w:r>
      <w:r>
        <w:rPr>
          <w:rFonts w:ascii="Calibri" w:hAnsi="Calibri" w:cs="Calibri"/>
          <w:sz w:val="22"/>
          <w:szCs w:val="22"/>
          <w:lang w:val="sv"/>
        </w:rPr>
        <w:fldChar w:fldCharType="end"/>
      </w:r>
      <w:r>
        <w:rPr>
          <w:rFonts w:ascii="Calibri" w:hAnsi="Calibri" w:cs="Calibri"/>
          <w:sz w:val="22"/>
          <w:szCs w:val="22"/>
          <w:lang w:val="sv"/>
        </w:rPr>
        <w:t>, har säljaren rätt att av användaren ta ut ett skäligt avtalsvite, om avtalsparterna särskilt har avtalat om detta och om dess belopp i gasförsäljningsavtalet.</w:t>
      </w:r>
    </w:p>
    <w:p w14:paraId="31AC71CD"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 xml:space="preserve">Ett tillsvidare gällande försäljningsavtal upphör på grund av uppsägning eller hävning. </w:t>
      </w:r>
    </w:p>
    <w:p w14:paraId="3F96A4B5" w14:textId="77777777" w:rsidR="00FE01D7" w:rsidRPr="001A1743" w:rsidRDefault="00FE01D7" w:rsidP="00907669">
      <w:pPr>
        <w:pStyle w:val="Leipteksti24"/>
        <w:numPr>
          <w:ilvl w:val="2"/>
          <w:numId w:val="1"/>
        </w:numPr>
        <w:tabs>
          <w:tab w:val="clear" w:pos="-1620"/>
        </w:tabs>
        <w:ind w:left="2609" w:hanging="1191"/>
        <w:rPr>
          <w:rFonts w:ascii="Calibri" w:hAnsi="Calibri" w:cs="Calibri"/>
          <w:sz w:val="22"/>
          <w:szCs w:val="22"/>
          <w:lang w:val="sv-FI"/>
        </w:rPr>
      </w:pPr>
      <w:r>
        <w:rPr>
          <w:rFonts w:ascii="Calibri" w:hAnsi="Calibri" w:cs="Calibri"/>
          <w:sz w:val="22"/>
          <w:szCs w:val="22"/>
          <w:lang w:val="sv"/>
        </w:rPr>
        <w:t xml:space="preserve">Vardera avtalsparten kan säga upp ett gasförsäljningsavtal utanför leveransskyldigheten med två veckors uppsägningstid, om inte annat avtalats. Säljarens uppsägningstid kan inte genom avtal förkortas till mindre än två veckor. </w:t>
      </w:r>
    </w:p>
    <w:p w14:paraId="1139886D" w14:textId="77777777" w:rsidR="00FE01D7" w:rsidRPr="001A1743" w:rsidRDefault="00FE01D7" w:rsidP="00907669">
      <w:pPr>
        <w:pStyle w:val="Leipteksti24"/>
        <w:numPr>
          <w:ilvl w:val="2"/>
          <w:numId w:val="1"/>
        </w:numPr>
        <w:tabs>
          <w:tab w:val="clear" w:pos="-1620"/>
        </w:tabs>
        <w:ind w:left="2609" w:hanging="1191"/>
        <w:rPr>
          <w:rFonts w:ascii="Calibri" w:hAnsi="Calibri" w:cs="Calibri"/>
          <w:sz w:val="22"/>
          <w:szCs w:val="22"/>
          <w:lang w:val="sv-FI"/>
        </w:rPr>
      </w:pPr>
      <w:r>
        <w:rPr>
          <w:rFonts w:ascii="Calibri" w:hAnsi="Calibri" w:cs="Calibri"/>
          <w:sz w:val="22"/>
          <w:szCs w:val="22"/>
          <w:lang w:val="sv"/>
        </w:rPr>
        <w:t xml:space="preserve">Användaren kan säga upp ett gasförsäljningsavtal som omfattas av leveransskyldighet med två veckors uppsägningstid. </w:t>
      </w:r>
    </w:p>
    <w:p w14:paraId="67337AD0" w14:textId="77777777" w:rsidR="00FE01D7" w:rsidRPr="001A1743" w:rsidRDefault="00FE01D7" w:rsidP="00907669">
      <w:pPr>
        <w:pStyle w:val="Leipteksti24"/>
        <w:numPr>
          <w:ilvl w:val="2"/>
          <w:numId w:val="1"/>
        </w:numPr>
        <w:tabs>
          <w:tab w:val="clear" w:pos="-1620"/>
        </w:tabs>
        <w:ind w:left="2609" w:hanging="1191"/>
        <w:rPr>
          <w:rFonts w:ascii="Calibri" w:hAnsi="Calibri" w:cs="Calibri"/>
          <w:sz w:val="22"/>
          <w:szCs w:val="22"/>
          <w:lang w:val="sv-FI"/>
        </w:rPr>
      </w:pPr>
      <w:r>
        <w:rPr>
          <w:rFonts w:ascii="Calibri" w:hAnsi="Calibri" w:cs="Calibri"/>
          <w:sz w:val="22"/>
          <w:szCs w:val="22"/>
          <w:lang w:val="sv"/>
        </w:rPr>
        <w:lastRenderedPageBreak/>
        <w:t>Säljaren kan inte säga upp försäljningsavtalet för en konsument som omfattas av leveransskyldighet. För en annan användare kan säljaren säga upp försäljningsavtalet med tre månaders uppsägningstid, om det ur säljarens synvinkel är oskäligt att hålla gasförsäljningsavtalet i kraft till följd av en lagändring eller en väsentlig förändring i förhållandena.</w:t>
      </w:r>
    </w:p>
    <w:p w14:paraId="3CFB66C3"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Vardera avtalsparten har rätt att häva försäljningsavtalet, om den andra parten i väsentlig grad handlar i strid med gasförsäljningsavtalet och inte rättar till situationen inom skälig tid.</w:t>
      </w:r>
    </w:p>
    <w:p w14:paraId="13A22195"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Säljaren har rätt att häva försäljningsavtalet, om</w:t>
      </w:r>
    </w:p>
    <w:p w14:paraId="4DEF0355" w14:textId="77777777" w:rsidR="005B714A" w:rsidRPr="001A1743" w:rsidRDefault="005B714A" w:rsidP="00907669">
      <w:pPr>
        <w:pStyle w:val="Leipteksti24"/>
        <w:numPr>
          <w:ilvl w:val="2"/>
          <w:numId w:val="1"/>
        </w:numPr>
        <w:ind w:left="2609" w:hanging="1191"/>
        <w:rPr>
          <w:rFonts w:ascii="Calibri" w:hAnsi="Calibri" w:cs="Calibri"/>
          <w:sz w:val="22"/>
          <w:szCs w:val="22"/>
          <w:lang w:val="sv-FI"/>
        </w:rPr>
      </w:pPr>
      <w:r>
        <w:rPr>
          <w:rFonts w:ascii="Calibri" w:hAnsi="Calibri" w:cs="Calibri"/>
          <w:sz w:val="22"/>
          <w:szCs w:val="22"/>
          <w:lang w:val="sv"/>
        </w:rPr>
        <w:t>användaren har gjort sig skyldig till tillgrepp av gas eller säljarens egendom, uppsåtlig skadegörelse på anordningar eller brytande av förseglingen av dessa anordningar, eller försök till dessa åtgärder;</w:t>
      </w:r>
    </w:p>
    <w:p w14:paraId="655FA22D" w14:textId="77777777" w:rsidR="005B714A" w:rsidRPr="001A1743" w:rsidRDefault="005B714A" w:rsidP="00907669">
      <w:pPr>
        <w:pStyle w:val="Leipteksti24"/>
        <w:numPr>
          <w:ilvl w:val="2"/>
          <w:numId w:val="1"/>
        </w:numPr>
        <w:ind w:left="2609" w:hanging="1191"/>
        <w:rPr>
          <w:rFonts w:ascii="Calibri" w:hAnsi="Calibri" w:cs="Calibri"/>
          <w:sz w:val="22"/>
          <w:szCs w:val="22"/>
          <w:lang w:val="sv-FI"/>
        </w:rPr>
      </w:pPr>
      <w:r>
        <w:rPr>
          <w:rFonts w:ascii="Calibri" w:hAnsi="Calibri" w:cs="Calibri"/>
          <w:sz w:val="22"/>
          <w:szCs w:val="22"/>
          <w:lang w:val="sv"/>
        </w:rPr>
        <w:t>leveransen har avbrutits i enlighet med dessa villkor och avbrottet har varat minst en månad, eller om avbrottet av skäl som beror på användaren eller nätinnehavaren inte har kunnat verkställas tekniskt och det har gått minst en månad sedan förutsättningarna för avbrytande uppfyllts;</w:t>
      </w:r>
    </w:p>
    <w:p w14:paraId="20DD916F" w14:textId="77777777" w:rsidR="005B714A" w:rsidRPr="001A1743" w:rsidRDefault="005B714A" w:rsidP="00907669">
      <w:pPr>
        <w:pStyle w:val="Leipteksti24"/>
        <w:numPr>
          <w:ilvl w:val="2"/>
          <w:numId w:val="1"/>
        </w:numPr>
        <w:ind w:left="2609" w:hanging="1191"/>
        <w:rPr>
          <w:rFonts w:ascii="Calibri" w:hAnsi="Calibri" w:cs="Calibri"/>
          <w:sz w:val="22"/>
          <w:szCs w:val="22"/>
          <w:lang w:val="sv-FI"/>
        </w:rPr>
      </w:pPr>
      <w:r>
        <w:rPr>
          <w:rFonts w:ascii="Calibri" w:hAnsi="Calibri" w:cs="Calibri"/>
          <w:sz w:val="22"/>
          <w:szCs w:val="22"/>
          <w:lang w:val="sv"/>
        </w:rPr>
        <w:t>användaren annars i väsentlig grad har brutit mot sina skyldigheter enligt gasförsäljningsavtalet och avtalsbrottet inte har rättats till inom en skälig tidsfrist som säljaren har meddelat skriftligen;</w:t>
      </w:r>
    </w:p>
    <w:p w14:paraId="6F21172E" w14:textId="77777777" w:rsidR="005B714A" w:rsidRPr="001A1743" w:rsidRDefault="005B714A" w:rsidP="00907669">
      <w:pPr>
        <w:pStyle w:val="Leipteksti24"/>
        <w:numPr>
          <w:ilvl w:val="2"/>
          <w:numId w:val="1"/>
        </w:numPr>
        <w:ind w:left="2609" w:hanging="1191"/>
        <w:rPr>
          <w:rFonts w:ascii="Calibri" w:hAnsi="Calibri" w:cs="Calibri"/>
          <w:sz w:val="22"/>
          <w:szCs w:val="22"/>
          <w:lang w:val="sv-FI"/>
        </w:rPr>
      </w:pPr>
      <w:r>
        <w:rPr>
          <w:rFonts w:ascii="Calibri" w:hAnsi="Calibri" w:cs="Calibri"/>
          <w:sz w:val="22"/>
          <w:szCs w:val="22"/>
          <w:lang w:val="sv"/>
        </w:rPr>
        <w:t xml:space="preserve">nätinnehavaren har hävt nätavtalet för driftsstället. </w:t>
      </w:r>
    </w:p>
    <w:p w14:paraId="638320F7" w14:textId="13D5257D"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Säljaren sänder användaren ett skriftligt meddelande om hävning av gasförsäljningsavtalet, där orsaken till hävningen och den tidpunkt då gasförsäljningsavtalet upphör anges.</w:t>
      </w:r>
    </w:p>
    <w:p w14:paraId="730BD8FD" w14:textId="77777777" w:rsidR="00907669" w:rsidRPr="001A1743" w:rsidRDefault="00907669" w:rsidP="00907669">
      <w:pPr>
        <w:pStyle w:val="Leipteksti24"/>
        <w:numPr>
          <w:ilvl w:val="0"/>
          <w:numId w:val="0"/>
        </w:numPr>
        <w:tabs>
          <w:tab w:val="clear" w:pos="-1620"/>
        </w:tabs>
        <w:spacing w:before="0" w:after="0"/>
        <w:outlineLvl w:val="1"/>
        <w:rPr>
          <w:rFonts w:ascii="Calibri" w:hAnsi="Calibri" w:cs="Calibri"/>
          <w:sz w:val="22"/>
          <w:szCs w:val="22"/>
          <w:lang w:val="sv-FI"/>
        </w:rPr>
      </w:pPr>
    </w:p>
    <w:p w14:paraId="38949B3E" w14:textId="67EC282D" w:rsidR="00FE01D7" w:rsidRPr="00907669" w:rsidRDefault="00FE01D7" w:rsidP="007D3745">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ind w:left="1304" w:hanging="737"/>
        <w:rPr>
          <w:rFonts w:asciiTheme="majorHAnsi" w:hAnsiTheme="majorHAnsi" w:cs="Calibri"/>
          <w:szCs w:val="28"/>
        </w:rPr>
      </w:pPr>
      <w:bookmarkStart w:id="31" w:name="_Toc27643662"/>
      <w:r>
        <w:rPr>
          <w:rFonts w:asciiTheme="majorHAnsi" w:hAnsiTheme="majorHAnsi" w:cs="Calibri"/>
          <w:szCs w:val="28"/>
          <w:lang w:val="sv"/>
        </w:rPr>
        <w:t>Avgörande av tvister</w:t>
      </w:r>
      <w:bookmarkEnd w:id="31"/>
    </w:p>
    <w:p w14:paraId="3733CD9F" w14:textId="2ECCB6B0" w:rsidR="00907669"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En konsument har rätt att föra meningsskiljaktigheter om tolkningen av gasförsäljningsavtalet till behandling i konsumenttvistenämnden (</w:t>
      </w:r>
      <w:hyperlink r:id="rId11" w:history="1">
        <w:r>
          <w:rPr>
            <w:rStyle w:val="Hyperlinkki"/>
            <w:rFonts w:ascii="Calibri" w:hAnsi="Calibri" w:cs="Calibri"/>
            <w:sz w:val="22"/>
            <w:szCs w:val="22"/>
            <w:u w:val="none"/>
            <w:lang w:val="sv"/>
          </w:rPr>
          <w:t>www.kuluttajariita.fi</w:t>
        </w:r>
      </w:hyperlink>
      <w:r>
        <w:rPr>
          <w:rFonts w:ascii="Calibri" w:hAnsi="Calibri" w:cs="Calibri"/>
          <w:sz w:val="22"/>
          <w:szCs w:val="22"/>
          <w:lang w:val="sv"/>
        </w:rPr>
        <w:t>). Innan begäran om avgörande lämnas till konsumenttvistenämnden bör konsumenten kontakta konsumentrådgivningen (</w:t>
      </w:r>
      <w:hyperlink r:id="rId12" w:history="1">
        <w:r>
          <w:rPr>
            <w:rStyle w:val="Hyperlinkki"/>
            <w:rFonts w:ascii="Calibri" w:hAnsi="Calibri" w:cs="Calibri"/>
            <w:sz w:val="22"/>
            <w:szCs w:val="22"/>
            <w:lang w:val="sv"/>
          </w:rPr>
          <w:t>www.konsumentrådgivning.fi</w:t>
        </w:r>
      </w:hyperlink>
      <w:hyperlink w:history="1"/>
      <w:r>
        <w:rPr>
          <w:rFonts w:ascii="Calibri" w:hAnsi="Calibri" w:cs="Calibri"/>
          <w:sz w:val="22"/>
          <w:szCs w:val="22"/>
          <w:lang w:val="sv"/>
        </w:rPr>
        <w:t>).</w:t>
      </w:r>
    </w:p>
    <w:p w14:paraId="01F9BB37" w14:textId="77777777" w:rsidR="00FE01D7" w:rsidRPr="001A1743" w:rsidRDefault="00FE01D7" w:rsidP="00907669">
      <w:pPr>
        <w:pStyle w:val="Leipteksti24"/>
        <w:numPr>
          <w:ilvl w:val="1"/>
          <w:numId w:val="1"/>
        </w:numPr>
        <w:tabs>
          <w:tab w:val="clear" w:pos="-1620"/>
        </w:tabs>
        <w:ind w:left="1304" w:hanging="737"/>
        <w:rPr>
          <w:rFonts w:ascii="Calibri" w:hAnsi="Calibri" w:cs="Calibri"/>
          <w:sz w:val="22"/>
          <w:szCs w:val="22"/>
          <w:lang w:val="sv-FI"/>
        </w:rPr>
      </w:pPr>
      <w:r>
        <w:rPr>
          <w:rFonts w:ascii="Calibri" w:hAnsi="Calibri" w:cs="Calibri"/>
          <w:sz w:val="22"/>
          <w:szCs w:val="22"/>
          <w:lang w:val="sv"/>
        </w:rPr>
        <w:t>Strävan är att i första hand lösa tvister genom förhandlingar. På detta avtal tillämpas finsk lag. Om meningsskiljaktigheterna om ett gasförsäljningsavtal avgörs i domstol, väcks talan vid tingsrätten på den ort där gasdriftsstället är belägen, om inte annat har överenskommits. En konsument har dock alltid rätt att väcka talan vid tingsrätten på sin hemort i Finland.</w:t>
      </w:r>
    </w:p>
    <w:p w14:paraId="648FCFBF" w14:textId="77777777" w:rsidR="00A040D1" w:rsidRPr="001A1743" w:rsidRDefault="00A040D1" w:rsidP="007D3745">
      <w:pPr>
        <w:ind w:left="1304" w:hanging="737"/>
        <w:outlineLvl w:val="1"/>
        <w:rPr>
          <w:rFonts w:ascii="Calibri" w:hAnsi="Calibri" w:cs="Calibri"/>
          <w:sz w:val="22"/>
          <w:szCs w:val="22"/>
          <w:lang w:val="sv-FI"/>
        </w:rPr>
      </w:pPr>
    </w:p>
    <w:sectPr w:rsidR="00A040D1" w:rsidRPr="001A1743" w:rsidSect="00CD3F85">
      <w:headerReference w:type="default" r:id="rId13"/>
      <w:headerReference w:type="first" r:id="rId14"/>
      <w:footerReference w:type="first" r:id="rId15"/>
      <w:pgSz w:w="11906" w:h="16838" w:code="9"/>
      <w:pgMar w:top="1134" w:right="1134" w:bottom="1134" w:left="1134" w:header="709" w:footer="567"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2A8E0" w14:textId="77777777" w:rsidR="005126F4" w:rsidRDefault="005126F4">
      <w:r>
        <w:separator/>
      </w:r>
    </w:p>
  </w:endnote>
  <w:endnote w:type="continuationSeparator" w:id="0">
    <w:p w14:paraId="48D433FE" w14:textId="77777777" w:rsidR="005126F4" w:rsidRDefault="005126F4">
      <w:r>
        <w:continuationSeparator/>
      </w:r>
    </w:p>
  </w:endnote>
  <w:endnote w:type="continuationNotice" w:id="1">
    <w:p w14:paraId="71B46A03" w14:textId="77777777" w:rsidR="005126F4" w:rsidRDefault="005126F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38E9" w14:textId="77777777" w:rsidR="004618C6" w:rsidRPr="001A1743" w:rsidRDefault="004618C6" w:rsidP="005E128B">
    <w:pPr>
      <w:pStyle w:val="Alatunniste"/>
      <w:spacing w:before="0" w:after="0"/>
      <w:ind w:firstLine="0"/>
      <w:rPr>
        <w:rFonts w:ascii="Calibri" w:hAnsi="Calibri" w:cs="Calibri"/>
        <w:bCs/>
        <w:sz w:val="22"/>
        <w:szCs w:val="22"/>
        <w:lang w:val="sv-FI"/>
      </w:rPr>
    </w:pPr>
    <w:r>
      <w:rPr>
        <w:rFonts w:ascii="Calibri" w:hAnsi="Calibri" w:cs="Calibri"/>
        <w:sz w:val="22"/>
        <w:szCs w:val="22"/>
        <w:lang w:val="sv"/>
      </w:rPr>
      <w:t xml:space="preserve">Finsk Energiindustri rf </w:t>
    </w:r>
  </w:p>
  <w:p w14:paraId="6490FC30" w14:textId="77777777" w:rsidR="00397716" w:rsidRPr="001A1743" w:rsidRDefault="00397716" w:rsidP="005E128B">
    <w:pPr>
      <w:pStyle w:val="Alatunniste"/>
      <w:spacing w:before="0" w:after="0"/>
      <w:ind w:firstLine="0"/>
      <w:rPr>
        <w:rFonts w:ascii="Calibri" w:hAnsi="Calibri" w:cs="Calibri"/>
        <w:bCs/>
        <w:sz w:val="22"/>
        <w:szCs w:val="22"/>
        <w:lang w:val="sv-FI"/>
      </w:rPr>
    </w:pPr>
    <w:bookmarkStart w:id="32" w:name="_Hlk506534832"/>
    <w:r>
      <w:rPr>
        <w:rFonts w:ascii="Calibri" w:hAnsi="Calibri" w:cs="Calibri"/>
        <w:sz w:val="22"/>
        <w:szCs w:val="22"/>
        <w:lang w:val="sv"/>
      </w:rPr>
      <w:t xml:space="preserve">Södra kajen 10, 00130 Helsingfors </w:t>
    </w:r>
  </w:p>
  <w:bookmarkEnd w:id="32"/>
  <w:p w14:paraId="2927AA76" w14:textId="77777777" w:rsidR="004618C6" w:rsidRPr="005E128B" w:rsidRDefault="004618C6" w:rsidP="005E128B">
    <w:pPr>
      <w:pStyle w:val="Alatunniste"/>
      <w:spacing w:before="0" w:after="0"/>
      <w:ind w:firstLine="0"/>
      <w:rPr>
        <w:rFonts w:ascii="Calibri" w:hAnsi="Calibri" w:cs="Calibri"/>
        <w:bCs/>
        <w:sz w:val="22"/>
        <w:szCs w:val="22"/>
      </w:rPr>
    </w:pPr>
    <w:r>
      <w:rPr>
        <w:rFonts w:ascii="Calibri" w:hAnsi="Calibri" w:cs="Calibri"/>
        <w:sz w:val="22"/>
        <w:szCs w:val="22"/>
        <w:lang w:val="sv"/>
      </w:rPr>
      <w:t>www.energia.fi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556EE" w14:textId="77777777" w:rsidR="005126F4" w:rsidRDefault="005126F4">
      <w:r>
        <w:separator/>
      </w:r>
    </w:p>
  </w:footnote>
  <w:footnote w:type="continuationSeparator" w:id="0">
    <w:p w14:paraId="4750617C" w14:textId="77777777" w:rsidR="005126F4" w:rsidRDefault="005126F4">
      <w:r>
        <w:continuationSeparator/>
      </w:r>
    </w:p>
  </w:footnote>
  <w:footnote w:type="continuationNotice" w:id="1">
    <w:p w14:paraId="56F9FA5D" w14:textId="77777777" w:rsidR="005126F4" w:rsidRDefault="005126F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636725"/>
      <w:docPartObj>
        <w:docPartGallery w:val="Page Numbers (Top of Page)"/>
        <w:docPartUnique/>
      </w:docPartObj>
    </w:sdtPr>
    <w:sdtEndPr/>
    <w:sdtContent>
      <w:p w14:paraId="3EBE81E7" w14:textId="2D0AFD5C" w:rsidR="00CD3F85" w:rsidRDefault="00CD3F85">
        <w:pPr>
          <w:pStyle w:val="Yltunniste"/>
          <w:jc w:val="right"/>
        </w:pPr>
        <w:r>
          <w:rPr>
            <w:lang w:val="sv"/>
          </w:rPr>
          <w:fldChar w:fldCharType="begin"/>
        </w:r>
        <w:r>
          <w:rPr>
            <w:lang w:val="sv"/>
          </w:rPr>
          <w:instrText>PAGE   \* MERGEFORMAT</w:instrText>
        </w:r>
        <w:r>
          <w:rPr>
            <w:lang w:val="sv"/>
          </w:rPr>
          <w:fldChar w:fldCharType="separate"/>
        </w:r>
        <w:r>
          <w:rPr>
            <w:lang w:val="sv"/>
          </w:rPr>
          <w:t>2</w:t>
        </w:r>
        <w:r>
          <w:rPr>
            <w:lang w:val="sv"/>
          </w:rPr>
          <w:fldChar w:fldCharType="end"/>
        </w:r>
      </w:p>
    </w:sdtContent>
  </w:sdt>
  <w:p w14:paraId="2A8402E7" w14:textId="77777777" w:rsidR="00AC5B40" w:rsidRDefault="00AC5B40" w:rsidP="004D6D01">
    <w:pPr>
      <w:pStyle w:val="Yltunniste"/>
      <w:tabs>
        <w:tab w:val="clear" w:pos="4819"/>
        <w:tab w:val="clear" w:pos="9638"/>
        <w:tab w:val="left" w:pos="343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Ind w:w="-38" w:type="dxa"/>
      <w:tblLayout w:type="fixed"/>
      <w:tblCellMar>
        <w:left w:w="70" w:type="dxa"/>
        <w:right w:w="70" w:type="dxa"/>
      </w:tblCellMar>
      <w:tblLook w:val="01E0" w:firstRow="1" w:lastRow="1" w:firstColumn="1" w:lastColumn="1" w:noHBand="0" w:noVBand="0"/>
    </w:tblPr>
    <w:tblGrid>
      <w:gridCol w:w="5190"/>
      <w:gridCol w:w="2289"/>
      <w:gridCol w:w="1985"/>
      <w:gridCol w:w="709"/>
    </w:tblGrid>
    <w:tr w:rsidR="004618C6" w14:paraId="569B4D41" w14:textId="77777777" w:rsidTr="00907669">
      <w:trPr>
        <w:cantSplit/>
        <w:trHeight w:hRule="exact" w:val="300"/>
      </w:trPr>
      <w:tc>
        <w:tcPr>
          <w:tcW w:w="5190" w:type="dxa"/>
          <w:vMerge w:val="restart"/>
        </w:tcPr>
        <w:p w14:paraId="5A06EA1B" w14:textId="0519A393" w:rsidR="004618C6" w:rsidRDefault="00CD3F85" w:rsidP="003D08D6">
          <w:pPr>
            <w:pStyle w:val="Yltunniste"/>
            <w:ind w:left="1191"/>
          </w:pPr>
          <w:r>
            <w:rPr>
              <w:noProof/>
              <w:lang w:val="sv"/>
            </w:rPr>
            <w:drawing>
              <wp:inline distT="0" distB="0" distL="0" distR="0" wp14:anchorId="0B670787" wp14:editId="5EF8AD35">
                <wp:extent cx="2030095" cy="445135"/>
                <wp:effectExtent l="0" t="0" r="8255"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445135"/>
                        </a:xfrm>
                        <a:prstGeom prst="rect">
                          <a:avLst/>
                        </a:prstGeom>
                        <a:noFill/>
                      </pic:spPr>
                    </pic:pic>
                  </a:graphicData>
                </a:graphic>
              </wp:inline>
            </w:drawing>
          </w:r>
        </w:p>
      </w:tc>
      <w:tc>
        <w:tcPr>
          <w:tcW w:w="4983" w:type="dxa"/>
          <w:gridSpan w:val="3"/>
        </w:tcPr>
        <w:p w14:paraId="5650034C" w14:textId="77777777" w:rsidR="004618C6" w:rsidRDefault="004618C6" w:rsidP="005B057F">
          <w:pPr>
            <w:pStyle w:val="Yltunniste"/>
          </w:pPr>
        </w:p>
      </w:tc>
    </w:tr>
    <w:tr w:rsidR="004618C6" w14:paraId="0FFE8074" w14:textId="77777777" w:rsidTr="00907669">
      <w:trPr>
        <w:cantSplit/>
        <w:trHeight w:hRule="exact" w:val="220"/>
      </w:trPr>
      <w:tc>
        <w:tcPr>
          <w:tcW w:w="5190" w:type="dxa"/>
          <w:vMerge/>
        </w:tcPr>
        <w:p w14:paraId="1EEF9DDE" w14:textId="77777777" w:rsidR="004618C6" w:rsidRDefault="004618C6" w:rsidP="005B057F">
          <w:pPr>
            <w:pStyle w:val="Yltunniste"/>
          </w:pPr>
        </w:p>
      </w:tc>
      <w:tc>
        <w:tcPr>
          <w:tcW w:w="2289" w:type="dxa"/>
          <w:vMerge w:val="restart"/>
        </w:tcPr>
        <w:p w14:paraId="69880CA9" w14:textId="77777777" w:rsidR="004618C6" w:rsidRPr="007F1524" w:rsidRDefault="004618C6" w:rsidP="005B057F">
          <w:pPr>
            <w:pStyle w:val="Yltunniste"/>
            <w:rPr>
              <w:rFonts w:ascii="Calibri" w:hAnsi="Calibri" w:cs="Calibri"/>
              <w:b/>
              <w:sz w:val="22"/>
              <w:szCs w:val="22"/>
            </w:rPr>
          </w:pPr>
        </w:p>
      </w:tc>
      <w:tc>
        <w:tcPr>
          <w:tcW w:w="1985" w:type="dxa"/>
        </w:tcPr>
        <w:p w14:paraId="235AA662" w14:textId="77777777" w:rsidR="004618C6" w:rsidRPr="007F1524" w:rsidRDefault="004618C6" w:rsidP="005B057F">
          <w:pPr>
            <w:pStyle w:val="Yltunniste"/>
            <w:rPr>
              <w:rFonts w:ascii="Calibri" w:hAnsi="Calibri" w:cs="Calibri"/>
              <w:b/>
              <w:sz w:val="22"/>
              <w:szCs w:val="22"/>
            </w:rPr>
          </w:pPr>
        </w:p>
      </w:tc>
      <w:tc>
        <w:tcPr>
          <w:tcW w:w="709" w:type="dxa"/>
        </w:tcPr>
        <w:p w14:paraId="67ADC229" w14:textId="37F4A0D9" w:rsidR="004618C6" w:rsidRPr="007F1524" w:rsidRDefault="004618C6" w:rsidP="005B057F">
          <w:pPr>
            <w:pStyle w:val="Yltunniste"/>
            <w:rPr>
              <w:rFonts w:ascii="Calibri" w:hAnsi="Calibri" w:cs="Calibri"/>
              <w:sz w:val="22"/>
              <w:szCs w:val="22"/>
            </w:rPr>
          </w:pPr>
        </w:p>
      </w:tc>
    </w:tr>
    <w:tr w:rsidR="004618C6" w14:paraId="51DF2B30" w14:textId="77777777" w:rsidTr="00907669">
      <w:trPr>
        <w:cantSplit/>
        <w:trHeight w:hRule="exact" w:val="220"/>
      </w:trPr>
      <w:tc>
        <w:tcPr>
          <w:tcW w:w="5190" w:type="dxa"/>
          <w:vMerge/>
        </w:tcPr>
        <w:p w14:paraId="3192A8A6" w14:textId="77777777" w:rsidR="004618C6" w:rsidRDefault="004618C6" w:rsidP="005B057F">
          <w:pPr>
            <w:pStyle w:val="Yltunniste"/>
          </w:pPr>
        </w:p>
      </w:tc>
      <w:tc>
        <w:tcPr>
          <w:tcW w:w="2289" w:type="dxa"/>
          <w:vMerge/>
        </w:tcPr>
        <w:p w14:paraId="625CBF38" w14:textId="77777777" w:rsidR="004618C6" w:rsidRPr="007F1524" w:rsidRDefault="004618C6" w:rsidP="005B057F">
          <w:pPr>
            <w:pStyle w:val="Yltunniste"/>
            <w:rPr>
              <w:rFonts w:ascii="Calibri" w:hAnsi="Calibri" w:cs="Calibri"/>
              <w:sz w:val="22"/>
              <w:szCs w:val="22"/>
            </w:rPr>
          </w:pPr>
        </w:p>
      </w:tc>
      <w:tc>
        <w:tcPr>
          <w:tcW w:w="2694" w:type="dxa"/>
          <w:gridSpan w:val="2"/>
          <w:vMerge w:val="restart"/>
        </w:tcPr>
        <w:p w14:paraId="1B20BC29" w14:textId="77777777" w:rsidR="004618C6" w:rsidRPr="007F1524" w:rsidRDefault="004618C6" w:rsidP="005B057F">
          <w:pPr>
            <w:pStyle w:val="Yltunniste"/>
            <w:rPr>
              <w:rFonts w:ascii="Calibri" w:hAnsi="Calibri" w:cs="Calibri"/>
              <w:sz w:val="22"/>
              <w:szCs w:val="22"/>
            </w:rPr>
          </w:pPr>
        </w:p>
      </w:tc>
    </w:tr>
    <w:tr w:rsidR="004618C6" w14:paraId="3DAFC7D6" w14:textId="77777777" w:rsidTr="00907669">
      <w:trPr>
        <w:cantSplit/>
        <w:trHeight w:hRule="exact" w:val="220"/>
      </w:trPr>
      <w:tc>
        <w:tcPr>
          <w:tcW w:w="5190" w:type="dxa"/>
          <w:vMerge/>
        </w:tcPr>
        <w:p w14:paraId="7988B669" w14:textId="77777777" w:rsidR="004618C6" w:rsidRDefault="004618C6" w:rsidP="005B057F">
          <w:pPr>
            <w:pStyle w:val="Yltunniste"/>
          </w:pPr>
        </w:p>
      </w:tc>
      <w:tc>
        <w:tcPr>
          <w:tcW w:w="2289" w:type="dxa"/>
        </w:tcPr>
        <w:p w14:paraId="0CCAE284" w14:textId="77777777" w:rsidR="004618C6" w:rsidRPr="007F1524" w:rsidRDefault="004618C6" w:rsidP="005B057F">
          <w:pPr>
            <w:pStyle w:val="Yltunniste"/>
            <w:rPr>
              <w:rFonts w:ascii="Calibri" w:hAnsi="Calibri" w:cs="Calibri"/>
              <w:sz w:val="22"/>
              <w:szCs w:val="22"/>
            </w:rPr>
          </w:pPr>
        </w:p>
      </w:tc>
      <w:tc>
        <w:tcPr>
          <w:tcW w:w="2694" w:type="dxa"/>
          <w:gridSpan w:val="2"/>
          <w:vMerge/>
        </w:tcPr>
        <w:p w14:paraId="5E60ABE8" w14:textId="77777777" w:rsidR="004618C6" w:rsidRPr="007F1524" w:rsidRDefault="004618C6" w:rsidP="005B057F">
          <w:pPr>
            <w:pStyle w:val="Yltunniste"/>
            <w:rPr>
              <w:rFonts w:ascii="Calibri" w:hAnsi="Calibri" w:cs="Calibri"/>
              <w:sz w:val="22"/>
              <w:szCs w:val="22"/>
            </w:rPr>
          </w:pPr>
        </w:p>
      </w:tc>
    </w:tr>
    <w:tr w:rsidR="004618C6" w14:paraId="011D7BC7" w14:textId="77777777" w:rsidTr="00907669">
      <w:trPr>
        <w:cantSplit/>
        <w:trHeight w:hRule="exact" w:val="220"/>
      </w:trPr>
      <w:tc>
        <w:tcPr>
          <w:tcW w:w="5190" w:type="dxa"/>
          <w:vMerge/>
        </w:tcPr>
        <w:p w14:paraId="1B922D71" w14:textId="77777777" w:rsidR="004618C6" w:rsidRDefault="004618C6" w:rsidP="005B057F">
          <w:pPr>
            <w:pStyle w:val="Yltunniste"/>
          </w:pPr>
        </w:p>
      </w:tc>
      <w:tc>
        <w:tcPr>
          <w:tcW w:w="2289" w:type="dxa"/>
        </w:tcPr>
        <w:p w14:paraId="51E61394" w14:textId="77777777" w:rsidR="004618C6" w:rsidRPr="007F1524" w:rsidRDefault="004618C6" w:rsidP="005B057F">
          <w:pPr>
            <w:pStyle w:val="Yltunniste"/>
            <w:rPr>
              <w:rFonts w:ascii="Calibri" w:hAnsi="Calibri" w:cs="Calibri"/>
              <w:sz w:val="22"/>
              <w:szCs w:val="22"/>
            </w:rPr>
          </w:pPr>
        </w:p>
      </w:tc>
      <w:tc>
        <w:tcPr>
          <w:tcW w:w="2694" w:type="dxa"/>
          <w:gridSpan w:val="2"/>
        </w:tcPr>
        <w:p w14:paraId="0289F235" w14:textId="77777777" w:rsidR="004618C6" w:rsidRPr="007F1524" w:rsidRDefault="004618C6" w:rsidP="005B057F">
          <w:pPr>
            <w:pStyle w:val="Yltunniste"/>
            <w:rPr>
              <w:rFonts w:ascii="Calibri" w:hAnsi="Calibri" w:cs="Calibri"/>
              <w:sz w:val="22"/>
              <w:szCs w:val="22"/>
            </w:rPr>
          </w:pPr>
        </w:p>
      </w:tc>
    </w:tr>
    <w:tr w:rsidR="004618C6" w14:paraId="31581D5C" w14:textId="77777777" w:rsidTr="00907669">
      <w:trPr>
        <w:trHeight w:hRule="exact" w:val="400"/>
      </w:trPr>
      <w:tc>
        <w:tcPr>
          <w:tcW w:w="10173" w:type="dxa"/>
          <w:gridSpan w:val="4"/>
        </w:tcPr>
        <w:p w14:paraId="63222E53" w14:textId="77777777" w:rsidR="004618C6" w:rsidRPr="007F1524" w:rsidRDefault="004618C6" w:rsidP="005B057F">
          <w:pPr>
            <w:pStyle w:val="Yltunniste"/>
            <w:rPr>
              <w:rFonts w:ascii="Calibri" w:hAnsi="Calibri" w:cs="Calibri"/>
              <w:sz w:val="22"/>
              <w:szCs w:val="22"/>
            </w:rPr>
          </w:pPr>
        </w:p>
      </w:tc>
    </w:tr>
  </w:tbl>
  <w:p w14:paraId="1C6B18C8" w14:textId="77777777" w:rsidR="004618C6" w:rsidRDefault="004618C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718"/>
    <w:multiLevelType w:val="hybridMultilevel"/>
    <w:tmpl w:val="A2E23B2C"/>
    <w:lvl w:ilvl="0" w:tplc="958C82B6">
      <w:start w:val="1"/>
      <w:numFmt w:val="decimal"/>
      <w:lvlText w:val="%1."/>
      <w:lvlJc w:val="left"/>
      <w:pPr>
        <w:ind w:left="1353" w:hanging="360"/>
      </w:pPr>
    </w:lvl>
    <w:lvl w:ilvl="1" w:tplc="040B0019">
      <w:start w:val="1"/>
      <w:numFmt w:val="lowerLetter"/>
      <w:lvlText w:val="%2."/>
      <w:lvlJc w:val="left"/>
      <w:pPr>
        <w:ind w:left="2073" w:hanging="360"/>
      </w:pPr>
    </w:lvl>
    <w:lvl w:ilvl="2" w:tplc="040B001B">
      <w:start w:val="1"/>
      <w:numFmt w:val="lowerRoman"/>
      <w:lvlText w:val="%3."/>
      <w:lvlJc w:val="right"/>
      <w:pPr>
        <w:ind w:left="2793" w:hanging="180"/>
      </w:pPr>
    </w:lvl>
    <w:lvl w:ilvl="3" w:tplc="040B000F">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1" w15:restartNumberingAfterBreak="0">
    <w:nsid w:val="1C621404"/>
    <w:multiLevelType w:val="multilevel"/>
    <w:tmpl w:val="100A8E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150D2F"/>
    <w:multiLevelType w:val="hybridMultilevel"/>
    <w:tmpl w:val="F5741730"/>
    <w:lvl w:ilvl="0" w:tplc="F92816B2">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3" w15:restartNumberingAfterBreak="0">
    <w:nsid w:val="24592013"/>
    <w:multiLevelType w:val="multilevel"/>
    <w:tmpl w:val="48068A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80458A"/>
    <w:multiLevelType w:val="multilevel"/>
    <w:tmpl w:val="FC340096"/>
    <w:lvl w:ilvl="0">
      <w:start w:val="8"/>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EA062F1"/>
    <w:multiLevelType w:val="multilevel"/>
    <w:tmpl w:val="D06C6A9E"/>
    <w:styleLink w:val="Tyyli1"/>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1838A1"/>
    <w:multiLevelType w:val="multilevel"/>
    <w:tmpl w:val="650AC844"/>
    <w:lvl w:ilvl="0">
      <w:start w:val="10"/>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2"/>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7" w15:restartNumberingAfterBreak="0">
    <w:nsid w:val="35E5635F"/>
    <w:multiLevelType w:val="multilevel"/>
    <w:tmpl w:val="1FE64182"/>
    <w:lvl w:ilvl="0">
      <w:start w:val="8"/>
      <w:numFmt w:val="decimal"/>
      <w:lvlText w:val="%1"/>
      <w:lvlJc w:val="left"/>
      <w:pPr>
        <w:ind w:left="360" w:hanging="360"/>
      </w:pPr>
      <w:rPr>
        <w:rFonts w:hint="default"/>
      </w:rPr>
    </w:lvl>
    <w:lvl w:ilvl="1">
      <w:start w:val="3"/>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3D2872DC"/>
    <w:multiLevelType w:val="multilevel"/>
    <w:tmpl w:val="58983A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687782"/>
    <w:multiLevelType w:val="hybridMultilevel"/>
    <w:tmpl w:val="EF5E7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8F5647"/>
    <w:multiLevelType w:val="multilevel"/>
    <w:tmpl w:val="69D6B1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FD0693"/>
    <w:multiLevelType w:val="hybridMultilevel"/>
    <w:tmpl w:val="B790B04A"/>
    <w:lvl w:ilvl="0" w:tplc="040B0017">
      <w:start w:val="1"/>
      <w:numFmt w:val="lowerLetter"/>
      <w:lvlText w:val="%1)"/>
      <w:lvlJc w:val="left"/>
      <w:pPr>
        <w:ind w:left="1494" w:hanging="360"/>
      </w:p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2" w15:restartNumberingAfterBreak="0">
    <w:nsid w:val="5ACB786D"/>
    <w:multiLevelType w:val="hybridMultilevel"/>
    <w:tmpl w:val="1E6A3FD2"/>
    <w:lvl w:ilvl="0" w:tplc="7D1CFF98">
      <w:start w:val="1"/>
      <w:numFmt w:val="lowerLetter"/>
      <w:lvlText w:val="%1)"/>
      <w:lvlJc w:val="left"/>
      <w:pPr>
        <w:ind w:left="780" w:hanging="360"/>
      </w:pPr>
      <w:rPr>
        <w:rFonts w:hint="default"/>
      </w:r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13" w15:restartNumberingAfterBreak="0">
    <w:nsid w:val="5F587FD0"/>
    <w:multiLevelType w:val="multilevel"/>
    <w:tmpl w:val="DA407AFE"/>
    <w:lvl w:ilvl="0">
      <w:start w:val="3"/>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682B03A9"/>
    <w:multiLevelType w:val="multilevel"/>
    <w:tmpl w:val="118EF4BA"/>
    <w:lvl w:ilvl="0">
      <w:start w:val="13"/>
      <w:numFmt w:val="decimal"/>
      <w:lvlText w:val="%1."/>
      <w:lvlJc w:val="left"/>
      <w:pPr>
        <w:ind w:left="435" w:hanging="435"/>
      </w:pPr>
      <w:rPr>
        <w:rFonts w:hint="default"/>
      </w:rPr>
    </w:lvl>
    <w:lvl w:ilvl="1">
      <w:start w:val="1"/>
      <w:numFmt w:val="decimal"/>
      <w:lvlText w:val="%1.%2."/>
      <w:lvlJc w:val="left"/>
      <w:pPr>
        <w:ind w:left="1569" w:hanging="43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6B9F7506"/>
    <w:multiLevelType w:val="multilevel"/>
    <w:tmpl w:val="9426E3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C6E0F43"/>
    <w:multiLevelType w:val="multilevel"/>
    <w:tmpl w:val="73B20D2A"/>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55E6AB9"/>
    <w:multiLevelType w:val="hybridMultilevel"/>
    <w:tmpl w:val="2084CC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70260A9"/>
    <w:multiLevelType w:val="multilevel"/>
    <w:tmpl w:val="FF1099F6"/>
    <w:lvl w:ilvl="0">
      <w:start w:val="10"/>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5"/>
  </w:num>
  <w:num w:numId="2">
    <w:abstractNumId w:val="0"/>
  </w:num>
  <w:num w:numId="3">
    <w:abstractNumId w:val="5"/>
  </w:num>
  <w:num w:numId="4">
    <w:abstractNumId w:val="16"/>
  </w:num>
  <w:num w:numId="5">
    <w:abstractNumId w:val="13"/>
  </w:num>
  <w:num w:numId="6">
    <w:abstractNumId w:val="11"/>
  </w:num>
  <w:num w:numId="7">
    <w:abstractNumId w:val="12"/>
  </w:num>
  <w:num w:numId="8">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18"/>
  </w:num>
  <w:num w:numId="12">
    <w:abstractNumId w:val="7"/>
  </w:num>
  <w:num w:numId="13">
    <w:abstractNumId w:val="4"/>
  </w:num>
  <w:num w:numId="14">
    <w:abstractNumId w:val="9"/>
  </w:num>
  <w:num w:numId="15">
    <w:abstractNumId w:val="17"/>
  </w:num>
  <w:num w:numId="16">
    <w:abstractNumId w:val="2"/>
  </w:num>
  <w:num w:numId="17">
    <w:abstractNumId w:val="3"/>
  </w:num>
  <w:num w:numId="18">
    <w:abstractNumId w:val="8"/>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96"/>
    <w:rsid w:val="00007E23"/>
    <w:rsid w:val="00014CEC"/>
    <w:rsid w:val="00016D14"/>
    <w:rsid w:val="00030AFB"/>
    <w:rsid w:val="0004169D"/>
    <w:rsid w:val="00041D42"/>
    <w:rsid w:val="000424E4"/>
    <w:rsid w:val="000441EE"/>
    <w:rsid w:val="000517C5"/>
    <w:rsid w:val="00053009"/>
    <w:rsid w:val="000547F1"/>
    <w:rsid w:val="000562E9"/>
    <w:rsid w:val="00077F43"/>
    <w:rsid w:val="00081CA7"/>
    <w:rsid w:val="00087049"/>
    <w:rsid w:val="00093E49"/>
    <w:rsid w:val="000A0BC8"/>
    <w:rsid w:val="000A1804"/>
    <w:rsid w:val="000B10BE"/>
    <w:rsid w:val="000B23CB"/>
    <w:rsid w:val="000C1FA3"/>
    <w:rsid w:val="000C5CBD"/>
    <w:rsid w:val="000C6EF8"/>
    <w:rsid w:val="000C7ADA"/>
    <w:rsid w:val="000D30BE"/>
    <w:rsid w:val="000D7C10"/>
    <w:rsid w:val="000E370E"/>
    <w:rsid w:val="000E5EB6"/>
    <w:rsid w:val="000F0597"/>
    <w:rsid w:val="000F2EC7"/>
    <w:rsid w:val="000F6C47"/>
    <w:rsid w:val="00102168"/>
    <w:rsid w:val="00104CF3"/>
    <w:rsid w:val="00121EB1"/>
    <w:rsid w:val="00123565"/>
    <w:rsid w:val="0012730A"/>
    <w:rsid w:val="00130978"/>
    <w:rsid w:val="00133530"/>
    <w:rsid w:val="0013492D"/>
    <w:rsid w:val="001366D4"/>
    <w:rsid w:val="00137154"/>
    <w:rsid w:val="00137D93"/>
    <w:rsid w:val="00143DAE"/>
    <w:rsid w:val="00147392"/>
    <w:rsid w:val="001513B1"/>
    <w:rsid w:val="00151C4B"/>
    <w:rsid w:val="001528A6"/>
    <w:rsid w:val="001538F1"/>
    <w:rsid w:val="00154060"/>
    <w:rsid w:val="001559AE"/>
    <w:rsid w:val="00161202"/>
    <w:rsid w:val="0016674C"/>
    <w:rsid w:val="00172423"/>
    <w:rsid w:val="0017752A"/>
    <w:rsid w:val="0019155C"/>
    <w:rsid w:val="00193FEE"/>
    <w:rsid w:val="00196E9D"/>
    <w:rsid w:val="001A070C"/>
    <w:rsid w:val="001A1743"/>
    <w:rsid w:val="001A4B53"/>
    <w:rsid w:val="001A7822"/>
    <w:rsid w:val="001B20C6"/>
    <w:rsid w:val="001C1912"/>
    <w:rsid w:val="001C67AE"/>
    <w:rsid w:val="001C6AFE"/>
    <w:rsid w:val="001F656D"/>
    <w:rsid w:val="00211C33"/>
    <w:rsid w:val="0021472A"/>
    <w:rsid w:val="00223B54"/>
    <w:rsid w:val="00224E57"/>
    <w:rsid w:val="002313C4"/>
    <w:rsid w:val="002413EE"/>
    <w:rsid w:val="002611C5"/>
    <w:rsid w:val="002631FB"/>
    <w:rsid w:val="0026554B"/>
    <w:rsid w:val="00266B4B"/>
    <w:rsid w:val="00270A87"/>
    <w:rsid w:val="002716BE"/>
    <w:rsid w:val="00276E1B"/>
    <w:rsid w:val="00280A37"/>
    <w:rsid w:val="00281251"/>
    <w:rsid w:val="00281D8E"/>
    <w:rsid w:val="002A22F0"/>
    <w:rsid w:val="002A269D"/>
    <w:rsid w:val="002A42E0"/>
    <w:rsid w:val="002B120B"/>
    <w:rsid w:val="002C0E3F"/>
    <w:rsid w:val="002C1122"/>
    <w:rsid w:val="002C67DA"/>
    <w:rsid w:val="002C703E"/>
    <w:rsid w:val="002D3911"/>
    <w:rsid w:val="002D3FD1"/>
    <w:rsid w:val="002E115C"/>
    <w:rsid w:val="002E5BF5"/>
    <w:rsid w:val="002E7700"/>
    <w:rsid w:val="002F2432"/>
    <w:rsid w:val="002F37D7"/>
    <w:rsid w:val="00300127"/>
    <w:rsid w:val="00314D4D"/>
    <w:rsid w:val="00317D1F"/>
    <w:rsid w:val="00322FC1"/>
    <w:rsid w:val="003270A4"/>
    <w:rsid w:val="00331EA4"/>
    <w:rsid w:val="00335037"/>
    <w:rsid w:val="00335FF1"/>
    <w:rsid w:val="00336D91"/>
    <w:rsid w:val="0034000A"/>
    <w:rsid w:val="003402DF"/>
    <w:rsid w:val="003429F4"/>
    <w:rsid w:val="003474CD"/>
    <w:rsid w:val="00365656"/>
    <w:rsid w:val="00374296"/>
    <w:rsid w:val="00376786"/>
    <w:rsid w:val="00387957"/>
    <w:rsid w:val="00397716"/>
    <w:rsid w:val="003A136B"/>
    <w:rsid w:val="003A1DD4"/>
    <w:rsid w:val="003A47E4"/>
    <w:rsid w:val="003A52D2"/>
    <w:rsid w:val="003A59AA"/>
    <w:rsid w:val="003B1C36"/>
    <w:rsid w:val="003B21B7"/>
    <w:rsid w:val="003B424A"/>
    <w:rsid w:val="003C1843"/>
    <w:rsid w:val="003D08D6"/>
    <w:rsid w:val="003D129C"/>
    <w:rsid w:val="003D13D6"/>
    <w:rsid w:val="003D403F"/>
    <w:rsid w:val="003E1443"/>
    <w:rsid w:val="003F1844"/>
    <w:rsid w:val="003F2D37"/>
    <w:rsid w:val="003F3735"/>
    <w:rsid w:val="003F4911"/>
    <w:rsid w:val="003F54AA"/>
    <w:rsid w:val="003F794E"/>
    <w:rsid w:val="00403A09"/>
    <w:rsid w:val="00404BCF"/>
    <w:rsid w:val="0040714B"/>
    <w:rsid w:val="00414DCA"/>
    <w:rsid w:val="0042092E"/>
    <w:rsid w:val="004315B4"/>
    <w:rsid w:val="00444DAB"/>
    <w:rsid w:val="00455774"/>
    <w:rsid w:val="0045664B"/>
    <w:rsid w:val="00460459"/>
    <w:rsid w:val="004618C6"/>
    <w:rsid w:val="00463435"/>
    <w:rsid w:val="0046408B"/>
    <w:rsid w:val="00472E5B"/>
    <w:rsid w:val="00481D2F"/>
    <w:rsid w:val="004911F7"/>
    <w:rsid w:val="004A3C1A"/>
    <w:rsid w:val="004A4455"/>
    <w:rsid w:val="004C0326"/>
    <w:rsid w:val="004D295F"/>
    <w:rsid w:val="004D6D01"/>
    <w:rsid w:val="004E49B5"/>
    <w:rsid w:val="004E4FC2"/>
    <w:rsid w:val="004F371D"/>
    <w:rsid w:val="00504D87"/>
    <w:rsid w:val="005066AF"/>
    <w:rsid w:val="005126F4"/>
    <w:rsid w:val="00515B33"/>
    <w:rsid w:val="00527D99"/>
    <w:rsid w:val="00530538"/>
    <w:rsid w:val="00530A29"/>
    <w:rsid w:val="00542728"/>
    <w:rsid w:val="00545EAE"/>
    <w:rsid w:val="00564695"/>
    <w:rsid w:val="00567755"/>
    <w:rsid w:val="00571C22"/>
    <w:rsid w:val="00591614"/>
    <w:rsid w:val="00592372"/>
    <w:rsid w:val="00597BEE"/>
    <w:rsid w:val="005A08D9"/>
    <w:rsid w:val="005A0C75"/>
    <w:rsid w:val="005A1FF5"/>
    <w:rsid w:val="005B057F"/>
    <w:rsid w:val="005B1642"/>
    <w:rsid w:val="005B3E3E"/>
    <w:rsid w:val="005B5824"/>
    <w:rsid w:val="005B67B8"/>
    <w:rsid w:val="005B714A"/>
    <w:rsid w:val="005C1311"/>
    <w:rsid w:val="005D52EF"/>
    <w:rsid w:val="005E128B"/>
    <w:rsid w:val="005E578F"/>
    <w:rsid w:val="005F264B"/>
    <w:rsid w:val="005F2FDB"/>
    <w:rsid w:val="005F43C5"/>
    <w:rsid w:val="0060312A"/>
    <w:rsid w:val="00606B6A"/>
    <w:rsid w:val="006264AE"/>
    <w:rsid w:val="00626F59"/>
    <w:rsid w:val="00630503"/>
    <w:rsid w:val="006340B0"/>
    <w:rsid w:val="0064458E"/>
    <w:rsid w:val="00650068"/>
    <w:rsid w:val="00652AEA"/>
    <w:rsid w:val="00655E6F"/>
    <w:rsid w:val="006571CF"/>
    <w:rsid w:val="00657C09"/>
    <w:rsid w:val="006632AE"/>
    <w:rsid w:val="006722F8"/>
    <w:rsid w:val="00672E1D"/>
    <w:rsid w:val="00675F5C"/>
    <w:rsid w:val="00677857"/>
    <w:rsid w:val="006832D0"/>
    <w:rsid w:val="00683853"/>
    <w:rsid w:val="00687932"/>
    <w:rsid w:val="00687984"/>
    <w:rsid w:val="0069061A"/>
    <w:rsid w:val="006A7385"/>
    <w:rsid w:val="006B323C"/>
    <w:rsid w:val="006B4ABF"/>
    <w:rsid w:val="006B5064"/>
    <w:rsid w:val="006C2237"/>
    <w:rsid w:val="006C5E67"/>
    <w:rsid w:val="006D149E"/>
    <w:rsid w:val="006F16F5"/>
    <w:rsid w:val="006F4C00"/>
    <w:rsid w:val="006F6710"/>
    <w:rsid w:val="006F7219"/>
    <w:rsid w:val="00703CEE"/>
    <w:rsid w:val="00716F77"/>
    <w:rsid w:val="00717F33"/>
    <w:rsid w:val="00723B75"/>
    <w:rsid w:val="00734A1A"/>
    <w:rsid w:val="00735C71"/>
    <w:rsid w:val="007404D7"/>
    <w:rsid w:val="00742651"/>
    <w:rsid w:val="0074558E"/>
    <w:rsid w:val="0075082D"/>
    <w:rsid w:val="00751A40"/>
    <w:rsid w:val="00765C77"/>
    <w:rsid w:val="00775E67"/>
    <w:rsid w:val="00782BCD"/>
    <w:rsid w:val="0078627E"/>
    <w:rsid w:val="007A0410"/>
    <w:rsid w:val="007A499E"/>
    <w:rsid w:val="007B06C9"/>
    <w:rsid w:val="007B137C"/>
    <w:rsid w:val="007B4200"/>
    <w:rsid w:val="007B4908"/>
    <w:rsid w:val="007C125F"/>
    <w:rsid w:val="007C501E"/>
    <w:rsid w:val="007C5AA1"/>
    <w:rsid w:val="007C7DA1"/>
    <w:rsid w:val="007D3745"/>
    <w:rsid w:val="007E1AF1"/>
    <w:rsid w:val="007F1524"/>
    <w:rsid w:val="007F1D85"/>
    <w:rsid w:val="00814BFF"/>
    <w:rsid w:val="00815F72"/>
    <w:rsid w:val="008168CA"/>
    <w:rsid w:val="00821A55"/>
    <w:rsid w:val="00823EDC"/>
    <w:rsid w:val="00827C7D"/>
    <w:rsid w:val="008314C4"/>
    <w:rsid w:val="00834401"/>
    <w:rsid w:val="00834889"/>
    <w:rsid w:val="00837BCD"/>
    <w:rsid w:val="00846002"/>
    <w:rsid w:val="008564B7"/>
    <w:rsid w:val="008615D2"/>
    <w:rsid w:val="00871AA8"/>
    <w:rsid w:val="008900D7"/>
    <w:rsid w:val="00894D47"/>
    <w:rsid w:val="0089747C"/>
    <w:rsid w:val="00897AF5"/>
    <w:rsid w:val="008A644B"/>
    <w:rsid w:val="008B243B"/>
    <w:rsid w:val="008B67DB"/>
    <w:rsid w:val="008D025C"/>
    <w:rsid w:val="008D2BBB"/>
    <w:rsid w:val="008D6506"/>
    <w:rsid w:val="008D7798"/>
    <w:rsid w:val="008E39EB"/>
    <w:rsid w:val="008E4E24"/>
    <w:rsid w:val="008F0A66"/>
    <w:rsid w:val="008F2E55"/>
    <w:rsid w:val="008F581B"/>
    <w:rsid w:val="00907669"/>
    <w:rsid w:val="0092030D"/>
    <w:rsid w:val="009209B3"/>
    <w:rsid w:val="009216AA"/>
    <w:rsid w:val="00924FA6"/>
    <w:rsid w:val="0093179D"/>
    <w:rsid w:val="0093645A"/>
    <w:rsid w:val="0094096B"/>
    <w:rsid w:val="009467A6"/>
    <w:rsid w:val="00950A51"/>
    <w:rsid w:val="00973373"/>
    <w:rsid w:val="0097394C"/>
    <w:rsid w:val="00980D4F"/>
    <w:rsid w:val="00984839"/>
    <w:rsid w:val="00992AA7"/>
    <w:rsid w:val="00993ED3"/>
    <w:rsid w:val="00994866"/>
    <w:rsid w:val="00995E0D"/>
    <w:rsid w:val="009B164C"/>
    <w:rsid w:val="009B5FB5"/>
    <w:rsid w:val="009C1563"/>
    <w:rsid w:val="009C6F26"/>
    <w:rsid w:val="009D00ED"/>
    <w:rsid w:val="009D6E4E"/>
    <w:rsid w:val="009E18A5"/>
    <w:rsid w:val="009E19C8"/>
    <w:rsid w:val="009E203D"/>
    <w:rsid w:val="009E249B"/>
    <w:rsid w:val="00A040D1"/>
    <w:rsid w:val="00A1720A"/>
    <w:rsid w:val="00A2167F"/>
    <w:rsid w:val="00A42C8F"/>
    <w:rsid w:val="00A46767"/>
    <w:rsid w:val="00A6071A"/>
    <w:rsid w:val="00A61ED1"/>
    <w:rsid w:val="00A65173"/>
    <w:rsid w:val="00A65F43"/>
    <w:rsid w:val="00A67D1F"/>
    <w:rsid w:val="00A74B3E"/>
    <w:rsid w:val="00A74F3C"/>
    <w:rsid w:val="00A770B7"/>
    <w:rsid w:val="00A90E27"/>
    <w:rsid w:val="00A922AF"/>
    <w:rsid w:val="00A92998"/>
    <w:rsid w:val="00AA1D47"/>
    <w:rsid w:val="00AA7F6F"/>
    <w:rsid w:val="00AB74D2"/>
    <w:rsid w:val="00AC3DE7"/>
    <w:rsid w:val="00AC5B40"/>
    <w:rsid w:val="00AC5D68"/>
    <w:rsid w:val="00AD4450"/>
    <w:rsid w:val="00AD5E66"/>
    <w:rsid w:val="00AD7765"/>
    <w:rsid w:val="00AE194E"/>
    <w:rsid w:val="00AF1ABB"/>
    <w:rsid w:val="00AF4B98"/>
    <w:rsid w:val="00B0264A"/>
    <w:rsid w:val="00B14F9C"/>
    <w:rsid w:val="00B21EBF"/>
    <w:rsid w:val="00B23F1D"/>
    <w:rsid w:val="00B24C8A"/>
    <w:rsid w:val="00B3008A"/>
    <w:rsid w:val="00B33361"/>
    <w:rsid w:val="00B350F6"/>
    <w:rsid w:val="00B4290F"/>
    <w:rsid w:val="00B44999"/>
    <w:rsid w:val="00B45E6A"/>
    <w:rsid w:val="00B460C9"/>
    <w:rsid w:val="00B469B3"/>
    <w:rsid w:val="00B47048"/>
    <w:rsid w:val="00B50D5A"/>
    <w:rsid w:val="00B523AA"/>
    <w:rsid w:val="00B53E93"/>
    <w:rsid w:val="00B642B3"/>
    <w:rsid w:val="00B65388"/>
    <w:rsid w:val="00B7286D"/>
    <w:rsid w:val="00B80B5A"/>
    <w:rsid w:val="00B81ECD"/>
    <w:rsid w:val="00B916DE"/>
    <w:rsid w:val="00B951A0"/>
    <w:rsid w:val="00B95230"/>
    <w:rsid w:val="00B97173"/>
    <w:rsid w:val="00BA1C2C"/>
    <w:rsid w:val="00BA4AD5"/>
    <w:rsid w:val="00BB11B8"/>
    <w:rsid w:val="00BB3D94"/>
    <w:rsid w:val="00BC4527"/>
    <w:rsid w:val="00BC5F03"/>
    <w:rsid w:val="00BD6F04"/>
    <w:rsid w:val="00BE02B7"/>
    <w:rsid w:val="00BE0423"/>
    <w:rsid w:val="00BE0C2C"/>
    <w:rsid w:val="00BE6A75"/>
    <w:rsid w:val="00BF68F2"/>
    <w:rsid w:val="00C01A69"/>
    <w:rsid w:val="00C03944"/>
    <w:rsid w:val="00C07201"/>
    <w:rsid w:val="00C12826"/>
    <w:rsid w:val="00C15739"/>
    <w:rsid w:val="00C27F1C"/>
    <w:rsid w:val="00C35B61"/>
    <w:rsid w:val="00C40C2E"/>
    <w:rsid w:val="00C44022"/>
    <w:rsid w:val="00C4416E"/>
    <w:rsid w:val="00C47019"/>
    <w:rsid w:val="00C533D0"/>
    <w:rsid w:val="00C609EF"/>
    <w:rsid w:val="00C6715A"/>
    <w:rsid w:val="00C73AEF"/>
    <w:rsid w:val="00C7728D"/>
    <w:rsid w:val="00C77797"/>
    <w:rsid w:val="00C801A1"/>
    <w:rsid w:val="00C808B4"/>
    <w:rsid w:val="00C81677"/>
    <w:rsid w:val="00C8391B"/>
    <w:rsid w:val="00C87E5C"/>
    <w:rsid w:val="00C9421D"/>
    <w:rsid w:val="00C9449B"/>
    <w:rsid w:val="00CA0028"/>
    <w:rsid w:val="00CA2722"/>
    <w:rsid w:val="00CA30D8"/>
    <w:rsid w:val="00CA4055"/>
    <w:rsid w:val="00CA50E6"/>
    <w:rsid w:val="00CA5391"/>
    <w:rsid w:val="00CB6848"/>
    <w:rsid w:val="00CC6498"/>
    <w:rsid w:val="00CD2898"/>
    <w:rsid w:val="00CD3F85"/>
    <w:rsid w:val="00CD640C"/>
    <w:rsid w:val="00CE51F2"/>
    <w:rsid w:val="00CE6694"/>
    <w:rsid w:val="00CE7483"/>
    <w:rsid w:val="00CF208E"/>
    <w:rsid w:val="00D02879"/>
    <w:rsid w:val="00D078EE"/>
    <w:rsid w:val="00D13BB5"/>
    <w:rsid w:val="00D13C31"/>
    <w:rsid w:val="00D275FA"/>
    <w:rsid w:val="00D31323"/>
    <w:rsid w:val="00D339BF"/>
    <w:rsid w:val="00D37F1A"/>
    <w:rsid w:val="00D44830"/>
    <w:rsid w:val="00D459CB"/>
    <w:rsid w:val="00D5659B"/>
    <w:rsid w:val="00D62749"/>
    <w:rsid w:val="00D638F3"/>
    <w:rsid w:val="00D74C1B"/>
    <w:rsid w:val="00D82458"/>
    <w:rsid w:val="00D83153"/>
    <w:rsid w:val="00D8389E"/>
    <w:rsid w:val="00D838C2"/>
    <w:rsid w:val="00D83AF5"/>
    <w:rsid w:val="00D856B8"/>
    <w:rsid w:val="00D8602D"/>
    <w:rsid w:val="00D914EA"/>
    <w:rsid w:val="00DA088E"/>
    <w:rsid w:val="00DA2524"/>
    <w:rsid w:val="00DB1E38"/>
    <w:rsid w:val="00DC24CB"/>
    <w:rsid w:val="00DC6F2A"/>
    <w:rsid w:val="00DC7FD8"/>
    <w:rsid w:val="00DD1500"/>
    <w:rsid w:val="00DD5B94"/>
    <w:rsid w:val="00DE3AB4"/>
    <w:rsid w:val="00DF04D4"/>
    <w:rsid w:val="00E06A5A"/>
    <w:rsid w:val="00E161C0"/>
    <w:rsid w:val="00E216D3"/>
    <w:rsid w:val="00E2448A"/>
    <w:rsid w:val="00E26058"/>
    <w:rsid w:val="00E26AB0"/>
    <w:rsid w:val="00E3202F"/>
    <w:rsid w:val="00E37443"/>
    <w:rsid w:val="00E419BB"/>
    <w:rsid w:val="00E42343"/>
    <w:rsid w:val="00E436A2"/>
    <w:rsid w:val="00E455FA"/>
    <w:rsid w:val="00E45F2F"/>
    <w:rsid w:val="00E50312"/>
    <w:rsid w:val="00E5477A"/>
    <w:rsid w:val="00E5593D"/>
    <w:rsid w:val="00E6508F"/>
    <w:rsid w:val="00E658C7"/>
    <w:rsid w:val="00E77C3F"/>
    <w:rsid w:val="00E77D6C"/>
    <w:rsid w:val="00E809CC"/>
    <w:rsid w:val="00E912D4"/>
    <w:rsid w:val="00E944B4"/>
    <w:rsid w:val="00EA08B8"/>
    <w:rsid w:val="00EA5B81"/>
    <w:rsid w:val="00EA728A"/>
    <w:rsid w:val="00EB01A1"/>
    <w:rsid w:val="00EB3AC6"/>
    <w:rsid w:val="00EC795F"/>
    <w:rsid w:val="00ED0CAD"/>
    <w:rsid w:val="00EE186D"/>
    <w:rsid w:val="00F009C5"/>
    <w:rsid w:val="00F076AA"/>
    <w:rsid w:val="00F10861"/>
    <w:rsid w:val="00F114D6"/>
    <w:rsid w:val="00F1156D"/>
    <w:rsid w:val="00F1212A"/>
    <w:rsid w:val="00F17386"/>
    <w:rsid w:val="00F2174F"/>
    <w:rsid w:val="00F217C5"/>
    <w:rsid w:val="00F33504"/>
    <w:rsid w:val="00F340F7"/>
    <w:rsid w:val="00F35286"/>
    <w:rsid w:val="00F43E9F"/>
    <w:rsid w:val="00F447AC"/>
    <w:rsid w:val="00F4536E"/>
    <w:rsid w:val="00F47F03"/>
    <w:rsid w:val="00F534F6"/>
    <w:rsid w:val="00F54EDE"/>
    <w:rsid w:val="00F609AD"/>
    <w:rsid w:val="00F60A1D"/>
    <w:rsid w:val="00F6278A"/>
    <w:rsid w:val="00F6393D"/>
    <w:rsid w:val="00F67ED1"/>
    <w:rsid w:val="00F806E6"/>
    <w:rsid w:val="00F83F36"/>
    <w:rsid w:val="00F86BE6"/>
    <w:rsid w:val="00F87D4E"/>
    <w:rsid w:val="00F92216"/>
    <w:rsid w:val="00F973D1"/>
    <w:rsid w:val="00FA05B5"/>
    <w:rsid w:val="00FA0F7C"/>
    <w:rsid w:val="00FA4A93"/>
    <w:rsid w:val="00FA5F46"/>
    <w:rsid w:val="00FA7108"/>
    <w:rsid w:val="00FA7983"/>
    <w:rsid w:val="00FA7F01"/>
    <w:rsid w:val="00FB568C"/>
    <w:rsid w:val="00FB760D"/>
    <w:rsid w:val="00FC2863"/>
    <w:rsid w:val="00FD12AA"/>
    <w:rsid w:val="00FD1799"/>
    <w:rsid w:val="00FD51C7"/>
    <w:rsid w:val="00FE0119"/>
    <w:rsid w:val="00FE01D7"/>
    <w:rsid w:val="00FE2AF0"/>
    <w:rsid w:val="00FE68CA"/>
    <w:rsid w:val="00FF286F"/>
    <w:rsid w:val="00FF2AF9"/>
    <w:rsid w:val="00FF612E"/>
    <w:rsid w:val="00FF791A"/>
    <w:rsid w:val="09D8AF78"/>
    <w:rsid w:val="0F07773E"/>
    <w:rsid w:val="120A9AD7"/>
    <w:rsid w:val="28239C07"/>
    <w:rsid w:val="2D680212"/>
    <w:rsid w:val="36D209B4"/>
    <w:rsid w:val="451C765F"/>
    <w:rsid w:val="4B999832"/>
    <w:rsid w:val="4ECB09F8"/>
    <w:rsid w:val="50E87217"/>
    <w:rsid w:val="5E2780ED"/>
    <w:rsid w:val="64B4FD55"/>
    <w:rsid w:val="64D583FA"/>
    <w:rsid w:val="6DB4636A"/>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BE9EFE"/>
  <w15:chartTrackingRefBased/>
  <w15:docId w15:val="{B5F5A713-43CC-4483-9714-3524FC53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pPr>
      <w:spacing w:before="120" w:after="120"/>
      <w:ind w:left="2609" w:hanging="1191"/>
    </w:pPr>
    <w:rPr>
      <w:rFonts w:ascii="Verdana" w:hAnsi="Verdana"/>
      <w:szCs w:val="19"/>
    </w:rPr>
  </w:style>
  <w:style w:type="paragraph" w:styleId="Otsikko1">
    <w:name w:val="heading 1"/>
    <w:next w:val="Leipteksti"/>
    <w:link w:val="Otsikko1Char"/>
    <w:qFormat/>
    <w:pPr>
      <w:keepNext/>
      <w:spacing w:before="120" w:after="120"/>
      <w:ind w:left="2609" w:hanging="1191"/>
      <w:outlineLvl w:val="0"/>
    </w:pPr>
    <w:rPr>
      <w:rFonts w:ascii="Verdana" w:hAnsi="Verdana" w:cs="Arial"/>
      <w:b/>
      <w:bCs/>
      <w:kern w:val="32"/>
      <w:sz w:val="28"/>
      <w:szCs w:val="32"/>
    </w:rPr>
  </w:style>
  <w:style w:type="paragraph" w:styleId="Otsikko2">
    <w:name w:val="heading 2"/>
    <w:basedOn w:val="Otsikko1"/>
    <w:next w:val="Leipteksti"/>
    <w:qFormat/>
    <w:pPr>
      <w:outlineLvl w:val="1"/>
    </w:pPr>
    <w:rPr>
      <w:bCs w:val="0"/>
      <w:iCs/>
      <w:sz w:val="20"/>
      <w:szCs w:val="28"/>
    </w:rPr>
  </w:style>
  <w:style w:type="paragraph" w:styleId="Otsikko3">
    <w:name w:val="heading 3"/>
    <w:basedOn w:val="Otsikko1"/>
    <w:next w:val="Leipteksti"/>
    <w:qFormat/>
    <w:pPr>
      <w:outlineLvl w:val="2"/>
    </w:pPr>
    <w:rPr>
      <w:bCs w:val="0"/>
      <w:sz w:val="20"/>
      <w:szCs w:val="26"/>
    </w:rPr>
  </w:style>
  <w:style w:type="paragraph" w:styleId="Otsikko5">
    <w:name w:val="heading 5"/>
    <w:basedOn w:val="Normaali"/>
    <w:next w:val="Normaali"/>
    <w:link w:val="Otsikko5Char"/>
    <w:qFormat/>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240" w:after="60"/>
      <w:ind w:left="1134" w:hanging="774"/>
      <w:outlineLvl w:val="4"/>
    </w:pPr>
    <w:rPr>
      <w:rFonts w:ascii="Arial" w:hAnsi="Arial"/>
      <w:b/>
      <w:i/>
      <w:sz w:val="26"/>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rPr>
      <w:sz w:val="16"/>
    </w:rPr>
  </w:style>
  <w:style w:type="paragraph" w:styleId="Leipteksti">
    <w:name w:val="Body Text"/>
    <w:basedOn w:val="Normaali"/>
  </w:style>
  <w:style w:type="paragraph" w:styleId="Alatunniste">
    <w:name w:val="footer"/>
    <w:link w:val="AlatunnisteChar"/>
    <w:uiPriority w:val="99"/>
    <w:rsid w:val="00387957"/>
    <w:pPr>
      <w:tabs>
        <w:tab w:val="center" w:pos="4819"/>
        <w:tab w:val="right" w:pos="9638"/>
      </w:tabs>
      <w:spacing w:before="120" w:after="120" w:line="220" w:lineRule="atLeast"/>
      <w:ind w:left="5783" w:hanging="1191"/>
    </w:pPr>
    <w:rPr>
      <w:rFonts w:ascii="Verdana" w:hAnsi="Verdana"/>
      <w:sz w:val="16"/>
      <w:szCs w:val="16"/>
    </w:rPr>
  </w:style>
  <w:style w:type="character" w:customStyle="1" w:styleId="AlatunnisteChar">
    <w:name w:val="Alatunniste Char"/>
    <w:link w:val="Alatunniste"/>
    <w:uiPriority w:val="99"/>
    <w:rsid w:val="00397716"/>
    <w:rPr>
      <w:rFonts w:ascii="Verdana" w:hAnsi="Verdana"/>
      <w:sz w:val="16"/>
      <w:szCs w:val="16"/>
    </w:rPr>
  </w:style>
  <w:style w:type="character" w:customStyle="1" w:styleId="Otsikko5Char">
    <w:name w:val="Otsikko 5 Char"/>
    <w:link w:val="Otsikko5"/>
    <w:rsid w:val="00FE01D7"/>
    <w:rPr>
      <w:rFonts w:ascii="Arial" w:hAnsi="Arial"/>
      <w:b/>
      <w:i/>
      <w:sz w:val="26"/>
    </w:rPr>
  </w:style>
  <w:style w:type="paragraph" w:styleId="Loppuviitteenteksti">
    <w:name w:val="endnote text"/>
    <w:basedOn w:val="Normaali"/>
    <w:link w:val="LoppuviitteentekstiChar"/>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4" w:hanging="774"/>
    </w:pPr>
    <w:rPr>
      <w:rFonts w:ascii="Arial" w:hAnsi="Arial"/>
      <w:szCs w:val="20"/>
    </w:rPr>
  </w:style>
  <w:style w:type="character" w:customStyle="1" w:styleId="LoppuviitteentekstiChar">
    <w:name w:val="Loppuviitteen teksti Char"/>
    <w:link w:val="Loppuviitteenteksti"/>
    <w:rsid w:val="00FE01D7"/>
    <w:rPr>
      <w:rFonts w:ascii="Arial" w:hAnsi="Arial"/>
    </w:rPr>
  </w:style>
  <w:style w:type="character" w:styleId="Loppuviitteenviite">
    <w:name w:val="endnote reference"/>
    <w:rsid w:val="00FE01D7"/>
    <w:rPr>
      <w:vertAlign w:val="superscript"/>
    </w:rPr>
  </w:style>
  <w:style w:type="paragraph" w:styleId="Alaviitteenteksti">
    <w:name w:val="footnote text"/>
    <w:basedOn w:val="Normaali"/>
    <w:link w:val="AlaviitteentekstiChar"/>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4" w:hanging="774"/>
    </w:pPr>
    <w:rPr>
      <w:rFonts w:ascii="Arial" w:hAnsi="Arial"/>
      <w:szCs w:val="20"/>
    </w:rPr>
  </w:style>
  <w:style w:type="character" w:customStyle="1" w:styleId="AlaviitteentekstiChar">
    <w:name w:val="Alaviitteen teksti Char"/>
    <w:link w:val="Alaviitteenteksti"/>
    <w:rsid w:val="00FE01D7"/>
    <w:rPr>
      <w:rFonts w:ascii="Arial" w:hAnsi="Arial"/>
    </w:rPr>
  </w:style>
  <w:style w:type="character" w:styleId="Alaviitteenviite">
    <w:name w:val="footnote reference"/>
    <w:rsid w:val="00FE01D7"/>
    <w:rPr>
      <w:vertAlign w:val="superscript"/>
    </w:rPr>
  </w:style>
  <w:style w:type="paragraph" w:customStyle="1" w:styleId="sisluet1">
    <w:name w:val="sisluet 1"/>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spacing w:before="480"/>
      <w:ind w:left="720" w:right="720" w:hanging="720"/>
    </w:pPr>
    <w:rPr>
      <w:rFonts w:ascii="Arial" w:hAnsi="Arial"/>
      <w:szCs w:val="20"/>
      <w:lang w:val="en-US"/>
    </w:rPr>
  </w:style>
  <w:style w:type="paragraph" w:customStyle="1" w:styleId="sisluet2">
    <w:name w:val="sisluet 2"/>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ind w:left="1440" w:right="720" w:hanging="720"/>
    </w:pPr>
    <w:rPr>
      <w:rFonts w:ascii="Arial" w:hAnsi="Arial"/>
      <w:szCs w:val="20"/>
      <w:lang w:val="en-US"/>
    </w:rPr>
  </w:style>
  <w:style w:type="paragraph" w:customStyle="1" w:styleId="sisluet3">
    <w:name w:val="sisluet 3"/>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ind w:left="2160" w:right="720" w:hanging="720"/>
    </w:pPr>
    <w:rPr>
      <w:rFonts w:ascii="Arial" w:hAnsi="Arial"/>
      <w:szCs w:val="20"/>
      <w:lang w:val="en-US"/>
    </w:rPr>
  </w:style>
  <w:style w:type="paragraph" w:customStyle="1" w:styleId="sisluet4">
    <w:name w:val="sisluet 4"/>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ind w:left="2880" w:right="720" w:hanging="720"/>
    </w:pPr>
    <w:rPr>
      <w:rFonts w:ascii="Arial" w:hAnsi="Arial"/>
      <w:szCs w:val="20"/>
      <w:lang w:val="en-US"/>
    </w:rPr>
  </w:style>
  <w:style w:type="paragraph" w:customStyle="1" w:styleId="sisluet5">
    <w:name w:val="sisluet 5"/>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ind w:left="3600" w:right="720" w:hanging="720"/>
    </w:pPr>
    <w:rPr>
      <w:rFonts w:ascii="Arial" w:hAnsi="Arial"/>
      <w:szCs w:val="20"/>
      <w:lang w:val="en-US"/>
    </w:rPr>
  </w:style>
  <w:style w:type="paragraph" w:customStyle="1" w:styleId="sisluet6">
    <w:name w:val="sisluet 6"/>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pos="9360"/>
      </w:tabs>
      <w:suppressAutoHyphens/>
      <w:ind w:left="720" w:hanging="720"/>
    </w:pPr>
    <w:rPr>
      <w:rFonts w:ascii="Arial" w:hAnsi="Arial"/>
      <w:szCs w:val="20"/>
      <w:lang w:val="en-US"/>
    </w:rPr>
  </w:style>
  <w:style w:type="paragraph" w:customStyle="1" w:styleId="sisluet7">
    <w:name w:val="sisluet 7"/>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720" w:hanging="720"/>
    </w:pPr>
    <w:rPr>
      <w:rFonts w:ascii="Arial" w:hAnsi="Arial"/>
      <w:szCs w:val="20"/>
      <w:lang w:val="en-US"/>
    </w:rPr>
  </w:style>
  <w:style w:type="paragraph" w:customStyle="1" w:styleId="sisluet8">
    <w:name w:val="sisluet 8"/>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pos="9360"/>
      </w:tabs>
      <w:suppressAutoHyphens/>
      <w:ind w:left="720" w:hanging="720"/>
    </w:pPr>
    <w:rPr>
      <w:rFonts w:ascii="Arial" w:hAnsi="Arial"/>
      <w:szCs w:val="20"/>
      <w:lang w:val="en-US"/>
    </w:rPr>
  </w:style>
  <w:style w:type="paragraph" w:customStyle="1" w:styleId="sisluet9">
    <w:name w:val="sisluet 9"/>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ind w:left="720" w:hanging="720"/>
    </w:pPr>
    <w:rPr>
      <w:rFonts w:ascii="Arial" w:hAnsi="Arial"/>
      <w:szCs w:val="20"/>
      <w:lang w:val="en-US"/>
    </w:rPr>
  </w:style>
  <w:style w:type="paragraph" w:customStyle="1" w:styleId="hakemisto1">
    <w:name w:val="hakemisto 1"/>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ind w:left="1440" w:right="720" w:hanging="1440"/>
    </w:pPr>
    <w:rPr>
      <w:rFonts w:ascii="Arial" w:hAnsi="Arial"/>
      <w:szCs w:val="20"/>
      <w:lang w:val="en-US"/>
    </w:rPr>
  </w:style>
  <w:style w:type="paragraph" w:customStyle="1" w:styleId="hakemisto2">
    <w:name w:val="hakemisto 2"/>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ind w:left="1440" w:right="720" w:hanging="720"/>
    </w:pPr>
    <w:rPr>
      <w:rFonts w:ascii="Arial" w:hAnsi="Arial"/>
      <w:szCs w:val="20"/>
      <w:lang w:val="en-US"/>
    </w:rPr>
  </w:style>
  <w:style w:type="paragraph" w:customStyle="1" w:styleId="lhdeluettelonotsikko">
    <w:name w:val="lähdeluettelon otsikko"/>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pos="9360"/>
      </w:tabs>
      <w:suppressAutoHyphens/>
      <w:ind w:left="1134" w:hanging="774"/>
    </w:pPr>
    <w:rPr>
      <w:rFonts w:ascii="Arial" w:hAnsi="Arial"/>
      <w:szCs w:val="20"/>
      <w:lang w:val="en-US"/>
    </w:rPr>
  </w:style>
  <w:style w:type="paragraph" w:customStyle="1" w:styleId="kuvaotsikko">
    <w:name w:val="kuvaotsikko"/>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4" w:hanging="774"/>
    </w:pPr>
    <w:rPr>
      <w:rFonts w:ascii="Arial" w:hAnsi="Arial"/>
      <w:szCs w:val="20"/>
    </w:rPr>
  </w:style>
  <w:style w:type="character" w:customStyle="1" w:styleId="EquationCaption">
    <w:name w:val="_Equation Caption"/>
    <w:rsid w:val="00FE01D7"/>
  </w:style>
  <w:style w:type="paragraph" w:customStyle="1" w:styleId="Leipteksti21">
    <w:name w:val="Leipäteksti 21"/>
    <w:basedOn w:val="Normaali"/>
    <w:rsid w:val="00FE01D7"/>
    <w:pPr>
      <w:numPr>
        <w:ilvl w:val="1"/>
      </w:numPr>
      <w:tabs>
        <w:tab w:val="left" w:pos="-1800"/>
        <w:tab w:val="left" w:pos="-1620"/>
        <w:tab w:val="left" w:pos="-1296"/>
        <w:tab w:val="left" w:pos="0"/>
        <w:tab w:val="left" w:pos="540"/>
        <w:tab w:val="left" w:pos="1296"/>
        <w:tab w:val="left" w:pos="2592"/>
        <w:tab w:val="left" w:pos="3888"/>
        <w:tab w:val="left" w:pos="5184"/>
        <w:tab w:val="left" w:pos="6480"/>
        <w:tab w:val="left" w:pos="7776"/>
        <w:tab w:val="left" w:pos="8784"/>
      </w:tabs>
      <w:suppressAutoHyphens/>
      <w:ind w:left="1296" w:hanging="774"/>
    </w:pPr>
    <w:rPr>
      <w:rFonts w:ascii="Arial" w:hAnsi="Arial"/>
      <w:szCs w:val="20"/>
    </w:rPr>
  </w:style>
  <w:style w:type="paragraph" w:styleId="Luettelo">
    <w:name w:val="List"/>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283" w:hanging="283"/>
    </w:pPr>
    <w:rPr>
      <w:rFonts w:ascii="Arial" w:hAnsi="Arial"/>
      <w:szCs w:val="20"/>
    </w:rPr>
  </w:style>
  <w:style w:type="paragraph" w:styleId="Luettelo2">
    <w:name w:val="List 2"/>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566" w:hanging="283"/>
    </w:pPr>
    <w:rPr>
      <w:rFonts w:ascii="Arial" w:hAnsi="Arial"/>
      <w:szCs w:val="20"/>
    </w:rPr>
  </w:style>
  <w:style w:type="paragraph" w:styleId="Luettelo3">
    <w:name w:val="List 3"/>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849" w:hanging="283"/>
    </w:pPr>
    <w:rPr>
      <w:rFonts w:ascii="Arial" w:hAnsi="Arial"/>
      <w:szCs w:val="20"/>
    </w:rPr>
  </w:style>
  <w:style w:type="paragraph" w:styleId="Luettelo4">
    <w:name w:val="List 4"/>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2" w:hanging="283"/>
    </w:pPr>
    <w:rPr>
      <w:rFonts w:ascii="Arial" w:hAnsi="Arial"/>
      <w:szCs w:val="20"/>
    </w:rPr>
  </w:style>
  <w:style w:type="paragraph" w:styleId="Jatkoluettelo">
    <w:name w:val="List Continue"/>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283" w:hanging="774"/>
    </w:pPr>
    <w:rPr>
      <w:rFonts w:ascii="Arial" w:hAnsi="Arial"/>
      <w:szCs w:val="20"/>
    </w:rPr>
  </w:style>
  <w:style w:type="paragraph" w:styleId="Jatkoluettelo3">
    <w:name w:val="List Continue 3"/>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849" w:hanging="774"/>
    </w:pPr>
    <w:rPr>
      <w:rFonts w:ascii="Arial" w:hAnsi="Arial"/>
      <w:szCs w:val="20"/>
    </w:rPr>
  </w:style>
  <w:style w:type="paragraph" w:customStyle="1" w:styleId="Leipteksti22">
    <w:name w:val="Leipäteksti 22"/>
    <w:basedOn w:val="Normaali"/>
    <w:rsid w:val="00FE01D7"/>
    <w:pPr>
      <w:numPr>
        <w:ilvl w:val="1"/>
      </w:numPr>
      <w:tabs>
        <w:tab w:val="left" w:pos="-1800"/>
        <w:tab w:val="left" w:pos="-1620"/>
        <w:tab w:val="left" w:pos="-1296"/>
        <w:tab w:val="left" w:pos="540"/>
        <w:tab w:val="left" w:pos="1276"/>
        <w:tab w:val="left" w:pos="2592"/>
        <w:tab w:val="left" w:pos="3888"/>
        <w:tab w:val="left" w:pos="5184"/>
        <w:tab w:val="left" w:pos="6480"/>
        <w:tab w:val="left" w:pos="7776"/>
        <w:tab w:val="left" w:pos="8784"/>
      </w:tabs>
      <w:suppressAutoHyphens/>
      <w:ind w:left="1296" w:hanging="1296"/>
    </w:pPr>
    <w:rPr>
      <w:rFonts w:ascii="Arial" w:hAnsi="Arial"/>
      <w:szCs w:val="20"/>
    </w:rPr>
  </w:style>
  <w:style w:type="paragraph" w:customStyle="1" w:styleId="Leipteksti23">
    <w:name w:val="Leipäteksti 23"/>
    <w:basedOn w:val="Normaali"/>
    <w:rsid w:val="00FE01D7"/>
    <w:pPr>
      <w:numPr>
        <w:ilvl w:val="1"/>
      </w:numPr>
      <w:tabs>
        <w:tab w:val="left" w:pos="-1800"/>
        <w:tab w:val="left" w:pos="-1620"/>
        <w:tab w:val="left" w:pos="-1296"/>
        <w:tab w:val="left" w:pos="0"/>
        <w:tab w:val="left" w:pos="540"/>
        <w:tab w:val="left" w:pos="720"/>
        <w:tab w:val="left" w:pos="1296"/>
        <w:tab w:val="left" w:pos="2592"/>
        <w:tab w:val="left" w:pos="3888"/>
        <w:tab w:val="left" w:pos="5184"/>
        <w:tab w:val="left" w:pos="6480"/>
        <w:tab w:val="left" w:pos="7776"/>
        <w:tab w:val="left" w:pos="8784"/>
      </w:tabs>
      <w:suppressAutoHyphens/>
      <w:ind w:left="1134" w:hanging="774"/>
    </w:pPr>
    <w:rPr>
      <w:rFonts w:ascii="Arial" w:hAnsi="Arial"/>
      <w:szCs w:val="20"/>
    </w:rPr>
  </w:style>
  <w:style w:type="paragraph" w:customStyle="1" w:styleId="Leipteksti24">
    <w:name w:val="Leipäteksti 24"/>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4" w:hanging="774"/>
    </w:pPr>
    <w:rPr>
      <w:rFonts w:ascii="Arial" w:hAnsi="Arial"/>
      <w:szCs w:val="20"/>
    </w:rPr>
  </w:style>
  <w:style w:type="paragraph" w:customStyle="1" w:styleId="Leipteksti25">
    <w:name w:val="Leipäteksti 25"/>
    <w:basedOn w:val="Normaali"/>
    <w:rsid w:val="00FE01D7"/>
    <w:pPr>
      <w:numPr>
        <w:ilvl w:val="1"/>
      </w:numPr>
      <w:tabs>
        <w:tab w:val="left" w:pos="-1800"/>
        <w:tab w:val="left" w:pos="-1620"/>
        <w:tab w:val="left" w:pos="-1296"/>
        <w:tab w:val="left" w:pos="540"/>
        <w:tab w:val="left" w:pos="1296"/>
        <w:tab w:val="left" w:pos="2552"/>
        <w:tab w:val="left" w:pos="2592"/>
        <w:tab w:val="left" w:pos="3888"/>
        <w:tab w:val="left" w:pos="5184"/>
        <w:tab w:val="left" w:pos="6480"/>
        <w:tab w:val="left" w:pos="7776"/>
        <w:tab w:val="left" w:pos="8784"/>
      </w:tabs>
      <w:suppressAutoHyphens/>
      <w:ind w:left="540" w:hanging="774"/>
    </w:pPr>
    <w:rPr>
      <w:rFonts w:ascii="Arial" w:hAnsi="Arial"/>
      <w:szCs w:val="20"/>
    </w:rPr>
  </w:style>
  <w:style w:type="paragraph" w:customStyle="1" w:styleId="Seliteteksti1">
    <w:name w:val="Seliteteksti1"/>
    <w:basedOn w:val="Normaali"/>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4" w:hanging="774"/>
    </w:pPr>
    <w:rPr>
      <w:rFonts w:ascii="Tahoma" w:hAnsi="Tahoma"/>
      <w:sz w:val="16"/>
      <w:szCs w:val="20"/>
    </w:rPr>
  </w:style>
  <w:style w:type="paragraph" w:styleId="Luettelokappale">
    <w:name w:val="List Paragraph"/>
    <w:basedOn w:val="Normaali"/>
    <w:uiPriority w:val="34"/>
    <w:qFormat/>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720" w:hanging="774"/>
      <w:contextualSpacing/>
    </w:pPr>
    <w:rPr>
      <w:rFonts w:ascii="Arial" w:hAnsi="Arial"/>
      <w:szCs w:val="20"/>
    </w:rPr>
  </w:style>
  <w:style w:type="paragraph" w:styleId="Eivli">
    <w:name w:val="No Spacing"/>
    <w:link w:val="EivliChar"/>
    <w:uiPriority w:val="1"/>
    <w:qFormat/>
    <w:rsid w:val="00FE01D7"/>
    <w:pPr>
      <w:widowControl w:val="0"/>
      <w:overflowPunct w:val="0"/>
      <w:autoSpaceDE w:val="0"/>
      <w:autoSpaceDN w:val="0"/>
      <w:adjustRightInd w:val="0"/>
      <w:spacing w:before="120" w:after="120"/>
      <w:ind w:left="2609" w:hanging="1191"/>
      <w:textAlignment w:val="baseline"/>
    </w:pPr>
    <w:rPr>
      <w:rFonts w:ascii="Arial" w:hAnsi="Arial"/>
      <w:sz w:val="24"/>
    </w:rPr>
  </w:style>
  <w:style w:type="numbering" w:customStyle="1" w:styleId="Tyyli1">
    <w:name w:val="Tyyli1"/>
    <w:uiPriority w:val="99"/>
    <w:rsid w:val="00FE01D7"/>
    <w:pPr>
      <w:numPr>
        <w:numId w:val="3"/>
      </w:numPr>
    </w:pPr>
  </w:style>
  <w:style w:type="paragraph" w:styleId="Sisllysluettelonotsikko">
    <w:name w:val="TOC Heading"/>
    <w:basedOn w:val="Otsikko1"/>
    <w:next w:val="Normaali"/>
    <w:uiPriority w:val="39"/>
    <w:unhideWhenUsed/>
    <w:qFormat/>
    <w:rsid w:val="00FE01D7"/>
    <w:pPr>
      <w:keepLines/>
      <w:spacing w:before="480" w:line="276" w:lineRule="auto"/>
      <w:outlineLvl w:val="9"/>
    </w:pPr>
    <w:rPr>
      <w:rFonts w:ascii="Cambria" w:hAnsi="Cambria" w:cs="Times New Roman"/>
      <w:color w:val="365F91"/>
      <w:kern w:val="0"/>
      <w:szCs w:val="28"/>
    </w:rPr>
  </w:style>
  <w:style w:type="paragraph" w:styleId="Sisluet20">
    <w:name w:val="toc 2"/>
    <w:basedOn w:val="Normaali"/>
    <w:next w:val="Normaali"/>
    <w:autoRedefine/>
    <w:uiPriority w:val="39"/>
    <w:unhideWhenUsed/>
    <w:qFormat/>
    <w:rsid w:val="00FE01D7"/>
    <w:pPr>
      <w:spacing w:after="100" w:line="276" w:lineRule="auto"/>
      <w:ind w:left="220"/>
    </w:pPr>
    <w:rPr>
      <w:rFonts w:ascii="Calibri" w:hAnsi="Calibri"/>
      <w:sz w:val="22"/>
      <w:szCs w:val="22"/>
    </w:rPr>
  </w:style>
  <w:style w:type="paragraph" w:styleId="Sisluet10">
    <w:name w:val="toc 1"/>
    <w:basedOn w:val="Normaali"/>
    <w:next w:val="Normaali"/>
    <w:autoRedefine/>
    <w:uiPriority w:val="39"/>
    <w:unhideWhenUsed/>
    <w:qFormat/>
    <w:rsid w:val="0045664B"/>
    <w:pPr>
      <w:tabs>
        <w:tab w:val="left" w:pos="2609"/>
        <w:tab w:val="right" w:leader="dot" w:pos="9628"/>
      </w:tabs>
      <w:spacing w:after="100" w:line="276" w:lineRule="auto"/>
      <w:ind w:left="2382"/>
    </w:pPr>
    <w:rPr>
      <w:rFonts w:ascii="Calibri" w:hAnsi="Calibri"/>
      <w:sz w:val="22"/>
      <w:szCs w:val="22"/>
    </w:rPr>
  </w:style>
  <w:style w:type="paragraph" w:styleId="Sisluet30">
    <w:name w:val="toc 3"/>
    <w:basedOn w:val="Normaali"/>
    <w:next w:val="Normaali"/>
    <w:autoRedefine/>
    <w:uiPriority w:val="39"/>
    <w:unhideWhenUsed/>
    <w:qFormat/>
    <w:rsid w:val="00FE01D7"/>
    <w:pPr>
      <w:spacing w:after="100" w:line="276" w:lineRule="auto"/>
      <w:ind w:left="440"/>
    </w:pPr>
    <w:rPr>
      <w:rFonts w:ascii="Calibri" w:hAnsi="Calibri"/>
      <w:sz w:val="22"/>
      <w:szCs w:val="22"/>
    </w:rPr>
  </w:style>
  <w:style w:type="paragraph" w:styleId="Seliteteksti">
    <w:name w:val="Balloon Text"/>
    <w:basedOn w:val="Normaali"/>
    <w:link w:val="SelitetekstiChar"/>
    <w:uiPriority w:val="99"/>
    <w:unhideWhenUsed/>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4" w:hanging="774"/>
    </w:pPr>
    <w:rPr>
      <w:rFonts w:ascii="Tahoma" w:hAnsi="Tahoma" w:cs="Tahoma"/>
      <w:sz w:val="16"/>
      <w:szCs w:val="16"/>
    </w:rPr>
  </w:style>
  <w:style w:type="character" w:customStyle="1" w:styleId="SelitetekstiChar">
    <w:name w:val="Seliteteksti Char"/>
    <w:link w:val="Seliteteksti"/>
    <w:uiPriority w:val="99"/>
    <w:rsid w:val="00FE01D7"/>
    <w:rPr>
      <w:rFonts w:ascii="Tahoma" w:hAnsi="Tahoma" w:cs="Tahoma"/>
      <w:sz w:val="16"/>
      <w:szCs w:val="16"/>
    </w:rPr>
  </w:style>
  <w:style w:type="character" w:styleId="Hyperlinkki">
    <w:name w:val="Hyperlink"/>
    <w:uiPriority w:val="99"/>
    <w:unhideWhenUsed/>
    <w:rsid w:val="00FE01D7"/>
    <w:rPr>
      <w:color w:val="0000FF"/>
      <w:u w:val="single"/>
    </w:rPr>
  </w:style>
  <w:style w:type="paragraph" w:styleId="Otsikko">
    <w:name w:val="Title"/>
    <w:basedOn w:val="Normaali"/>
    <w:next w:val="Normaali"/>
    <w:link w:val="OtsikkoChar"/>
    <w:uiPriority w:val="10"/>
    <w:qFormat/>
    <w:rsid w:val="00FE01D7"/>
    <w:pPr>
      <w:numPr>
        <w:ilvl w:val="1"/>
      </w:numPr>
      <w:pBdr>
        <w:bottom w:val="single" w:sz="8" w:space="4" w:color="4F81BD"/>
      </w:pBd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300"/>
      <w:ind w:left="1134" w:hanging="774"/>
      <w:contextualSpacing/>
    </w:pPr>
    <w:rPr>
      <w:rFonts w:ascii="Cambria" w:hAnsi="Cambria"/>
      <w:color w:val="17365D"/>
      <w:spacing w:val="5"/>
      <w:kern w:val="28"/>
      <w:sz w:val="52"/>
      <w:szCs w:val="52"/>
    </w:rPr>
  </w:style>
  <w:style w:type="character" w:customStyle="1" w:styleId="OtsikkoChar">
    <w:name w:val="Otsikko Char"/>
    <w:link w:val="Otsikko"/>
    <w:uiPriority w:val="10"/>
    <w:rsid w:val="00FE01D7"/>
    <w:rPr>
      <w:rFonts w:ascii="Cambria" w:hAnsi="Cambria"/>
      <w:color w:val="17365D"/>
      <w:spacing w:val="5"/>
      <w:kern w:val="28"/>
      <w:sz w:val="52"/>
      <w:szCs w:val="52"/>
    </w:rPr>
  </w:style>
  <w:style w:type="character" w:styleId="Kommentinviite">
    <w:name w:val="annotation reference"/>
    <w:uiPriority w:val="99"/>
    <w:unhideWhenUsed/>
    <w:rsid w:val="00FE01D7"/>
    <w:rPr>
      <w:sz w:val="16"/>
      <w:szCs w:val="16"/>
    </w:rPr>
  </w:style>
  <w:style w:type="paragraph" w:styleId="Kommentinteksti">
    <w:name w:val="annotation text"/>
    <w:basedOn w:val="Normaali"/>
    <w:link w:val="KommentintekstiChar"/>
    <w:uiPriority w:val="99"/>
    <w:unhideWhenUsed/>
    <w:rsid w:val="00FE01D7"/>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134" w:hanging="774"/>
    </w:pPr>
    <w:rPr>
      <w:rFonts w:ascii="Arial" w:hAnsi="Arial"/>
      <w:szCs w:val="20"/>
    </w:rPr>
  </w:style>
  <w:style w:type="character" w:customStyle="1" w:styleId="KommentintekstiChar">
    <w:name w:val="Kommentin teksti Char"/>
    <w:link w:val="Kommentinteksti"/>
    <w:uiPriority w:val="99"/>
    <w:rsid w:val="00FE01D7"/>
    <w:rPr>
      <w:rFonts w:ascii="Arial" w:hAnsi="Arial"/>
    </w:rPr>
  </w:style>
  <w:style w:type="paragraph" w:styleId="Kommentinotsikko">
    <w:name w:val="annotation subject"/>
    <w:basedOn w:val="Kommentinteksti"/>
    <w:next w:val="Kommentinteksti"/>
    <w:link w:val="KommentinotsikkoChar"/>
    <w:uiPriority w:val="99"/>
    <w:unhideWhenUsed/>
    <w:rsid w:val="00FE01D7"/>
    <w:rPr>
      <w:b/>
      <w:bCs/>
    </w:rPr>
  </w:style>
  <w:style w:type="character" w:customStyle="1" w:styleId="KommentinotsikkoChar">
    <w:name w:val="Kommentin otsikko Char"/>
    <w:link w:val="Kommentinotsikko"/>
    <w:uiPriority w:val="99"/>
    <w:rsid w:val="00FE01D7"/>
    <w:rPr>
      <w:rFonts w:ascii="Arial" w:hAnsi="Arial"/>
      <w:b/>
      <w:bCs/>
    </w:rPr>
  </w:style>
  <w:style w:type="character" w:customStyle="1" w:styleId="EivliChar">
    <w:name w:val="Ei väliä Char"/>
    <w:link w:val="Eivli"/>
    <w:uiPriority w:val="1"/>
    <w:rsid w:val="00FE01D7"/>
    <w:rPr>
      <w:rFonts w:ascii="Arial" w:hAnsi="Arial"/>
      <w:sz w:val="24"/>
    </w:rPr>
  </w:style>
  <w:style w:type="character" w:customStyle="1" w:styleId="YltunnisteChar">
    <w:name w:val="Ylätunniste Char"/>
    <w:link w:val="Yltunniste"/>
    <w:uiPriority w:val="99"/>
    <w:rsid w:val="00FE01D7"/>
    <w:rPr>
      <w:rFonts w:ascii="Verdana" w:hAnsi="Verdana"/>
      <w:sz w:val="16"/>
      <w:szCs w:val="19"/>
    </w:rPr>
  </w:style>
  <w:style w:type="character" w:customStyle="1" w:styleId="Otsikko1Char">
    <w:name w:val="Otsikko 1 Char"/>
    <w:link w:val="Otsikko1"/>
    <w:rsid w:val="00FE01D7"/>
    <w:rPr>
      <w:rFonts w:ascii="Verdana" w:hAnsi="Verdana" w:cs="Arial"/>
      <w:b/>
      <w:bCs/>
      <w:kern w:val="32"/>
      <w:sz w:val="28"/>
      <w:szCs w:val="32"/>
    </w:rPr>
  </w:style>
  <w:style w:type="paragraph" w:customStyle="1" w:styleId="py">
    <w:name w:val="py"/>
    <w:basedOn w:val="Normaali"/>
    <w:rsid w:val="00FE01D7"/>
    <w:pPr>
      <w:spacing w:before="100" w:beforeAutospacing="1" w:after="100" w:afterAutospacing="1"/>
    </w:pPr>
    <w:rPr>
      <w:rFonts w:ascii="Times New Roman" w:hAnsi="Times New Roman"/>
      <w:sz w:val="24"/>
      <w:szCs w:val="24"/>
    </w:rPr>
  </w:style>
  <w:style w:type="character" w:styleId="Ratkaisematonmaininta">
    <w:name w:val="Unresolved Mention"/>
    <w:uiPriority w:val="99"/>
    <w:unhideWhenUsed/>
    <w:rsid w:val="00924FA6"/>
    <w:rPr>
      <w:color w:val="605E5C"/>
      <w:shd w:val="clear" w:color="auto" w:fill="E1DFDD"/>
    </w:rPr>
  </w:style>
  <w:style w:type="character" w:styleId="Maininta">
    <w:name w:val="Mention"/>
    <w:basedOn w:val="Kappaleenoletusfontti"/>
    <w:uiPriority w:val="99"/>
    <w:unhideWhenUsed/>
    <w:rsid w:val="00A2167F"/>
    <w:rPr>
      <w:color w:val="2B579A"/>
      <w:shd w:val="clear" w:color="auto" w:fill="E1DFDD"/>
    </w:rPr>
  </w:style>
  <w:style w:type="paragraph" w:customStyle="1" w:styleId="Default">
    <w:name w:val="Default"/>
    <w:rsid w:val="003F2D37"/>
    <w:pPr>
      <w:autoSpaceDE w:val="0"/>
      <w:autoSpaceDN w:val="0"/>
      <w:adjustRightInd w:val="0"/>
    </w:pPr>
    <w:rPr>
      <w:color w:val="000000"/>
      <w:sz w:val="24"/>
      <w:szCs w:val="24"/>
    </w:rPr>
  </w:style>
  <w:style w:type="paragraph" w:styleId="Muutos">
    <w:name w:val="Revision"/>
    <w:hidden/>
    <w:uiPriority w:val="99"/>
    <w:semiHidden/>
    <w:rsid w:val="00455774"/>
    <w:rPr>
      <w:rFonts w:ascii="Verdana" w:hAnsi="Verdana"/>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985360">
      <w:bodyDiv w:val="1"/>
      <w:marLeft w:val="0"/>
      <w:marRight w:val="0"/>
      <w:marTop w:val="0"/>
      <w:marBottom w:val="0"/>
      <w:divBdr>
        <w:top w:val="none" w:sz="0" w:space="0" w:color="auto"/>
        <w:left w:val="none" w:sz="0" w:space="0" w:color="auto"/>
        <w:bottom w:val="none" w:sz="0" w:space="0" w:color="auto"/>
        <w:right w:val="none" w:sz="0" w:space="0" w:color="auto"/>
      </w:divBdr>
    </w:div>
    <w:div w:id="20154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logon\tiedostot\ENERGIA\Users\naukksa\Desktop\www.kuluttajaneuvonta.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logon\tiedostot\ENERGIA\Users\naukksa\Desktop\www.kuluttajariita.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6ACAE71764A9F4E80433FD688B39BE6" ma:contentTypeVersion="2" ma:contentTypeDescription="Luo uusi asiakirja." ma:contentTypeScope="" ma:versionID="1db75dcf71a588034703190b05e4f7f0">
  <xsd:schema xmlns:xsd="http://www.w3.org/2001/XMLSchema" xmlns:xs="http://www.w3.org/2001/XMLSchema" xmlns:p="http://schemas.microsoft.com/office/2006/metadata/properties" xmlns:ns2="72ec2494-3293-47b2-954b-61b2f11a9810" targetNamespace="http://schemas.microsoft.com/office/2006/metadata/properties" ma:root="true" ma:fieldsID="5e57f6c5ae427cc2b8df04f6331cd20f" ns2:_="">
    <xsd:import namespace="72ec2494-3293-47b2-954b-61b2f11a98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c2494-3293-47b2-954b-61b2f11a9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0ED40-1857-4CB2-A06C-3389FB4B1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A4EC3B-9605-407F-9D8B-E8B9FB55733A}">
  <ds:schemaRefs>
    <ds:schemaRef ds:uri="http://schemas.microsoft.com/sharepoint/v3/contenttype/forms"/>
  </ds:schemaRefs>
</ds:datastoreItem>
</file>

<file path=customXml/itemProps3.xml><?xml version="1.0" encoding="utf-8"?>
<ds:datastoreItem xmlns:ds="http://schemas.openxmlformats.org/officeDocument/2006/customXml" ds:itemID="{5E65B259-856C-4676-9D5D-569FAAB1F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c2494-3293-47b2-954b-61b2f11a9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40811-3B6A-481B-B7E8-1899CB57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5151</Words>
  <Characters>41732</Characters>
  <Application>Microsoft Office Word</Application>
  <DocSecurity>0</DocSecurity>
  <Lines>347</Lines>
  <Paragraphs>93</Paragraphs>
  <ScaleCrop>false</ScaleCrop>
  <HeadingPairs>
    <vt:vector size="2" baseType="variant">
      <vt:variant>
        <vt:lpstr>Otsikko</vt:lpstr>
      </vt:variant>
      <vt:variant>
        <vt:i4>1</vt:i4>
      </vt:variant>
    </vt:vector>
  </HeadingPairs>
  <TitlesOfParts>
    <vt:vector size="1" baseType="lpstr">
      <vt:lpstr>kirjemallipohja</vt:lpstr>
    </vt:vector>
  </TitlesOfParts>
  <Company>Energiateollisuus</Company>
  <LinksUpToDate>false</LinksUpToDate>
  <CharactersWithSpaces>46790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kirjemallipohja</dc:title>
  <dc:subject/>
  <dc:creator>Pixelpress Oy</dc:creator>
  <cp:keywords/>
  <dc:description/>
  <cp:lastModifiedBy>Siira Kimmo</cp:lastModifiedBy>
  <cp:revision>4</cp:revision>
  <dcterms:created xsi:type="dcterms:W3CDTF">2020-01-03T11:29:00Z</dcterms:created>
  <dcterms:modified xsi:type="dcterms:W3CDTF">2020-01-20T10:55:00Z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0x01010006ACAE71764A9F4E80433FD688B39BE6</vt:lpwstr>
  </property>
</Properties>
</file>