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638"/>
      </w:tblGrid>
      <w:tr w:rsidR="001343ED" w:rsidRPr="002E5BA2" w14:paraId="057DB65F" w14:textId="77777777" w:rsidTr="0033395A">
        <w:trPr>
          <w:trHeight w:val="1440"/>
          <w:jc w:val="center"/>
        </w:trPr>
        <w:tc>
          <w:tcPr>
            <w:tcW w:w="5000" w:type="pct"/>
            <w:tcBorders>
              <w:bottom w:val="single" w:sz="4" w:space="0" w:color="4472C4"/>
            </w:tcBorders>
            <w:vAlign w:val="center"/>
          </w:tcPr>
          <w:p w14:paraId="5C10A724" w14:textId="77777777" w:rsidR="00DE209B" w:rsidRDefault="00DE209B" w:rsidP="002E5BA2">
            <w:pPr>
              <w:pStyle w:val="Eivli"/>
              <w:jc w:val="center"/>
              <w:rPr>
                <w:rFonts w:ascii="Calibri" w:hAnsi="Calibri" w:cs="Calibri"/>
                <w:sz w:val="32"/>
                <w:szCs w:val="32"/>
              </w:rPr>
            </w:pPr>
          </w:p>
          <w:p w14:paraId="33F0C4E5" w14:textId="62C2890D" w:rsidR="006B635E" w:rsidRPr="00E24F9C" w:rsidRDefault="006B635E" w:rsidP="002E5BA2">
            <w:pPr>
              <w:pStyle w:val="Eivli"/>
              <w:jc w:val="center"/>
              <w:rPr>
                <w:rFonts w:ascii="Calibri" w:hAnsi="Calibri" w:cs="Calibri"/>
                <w:sz w:val="32"/>
                <w:szCs w:val="32"/>
                <w:lang w:val="sv-FI"/>
              </w:rPr>
            </w:pPr>
            <w:r>
              <w:rPr>
                <w:rFonts w:ascii="Calibri" w:hAnsi="Calibri" w:cs="Calibri"/>
                <w:sz w:val="32"/>
                <w:szCs w:val="32"/>
                <w:lang w:val="sv"/>
              </w:rPr>
              <w:t>Rekommenderade av Finsk Energiindustri rf</w:t>
            </w:r>
          </w:p>
          <w:p w14:paraId="43BE6866" w14:textId="77777777" w:rsidR="0033395A" w:rsidRPr="00E24F9C" w:rsidRDefault="0033395A" w:rsidP="002E5BA2">
            <w:pPr>
              <w:pStyle w:val="Eivli"/>
              <w:jc w:val="center"/>
              <w:rPr>
                <w:rFonts w:ascii="Calibri" w:hAnsi="Calibri" w:cs="Calibri"/>
                <w:b/>
                <w:bCs/>
                <w:sz w:val="36"/>
                <w:szCs w:val="36"/>
                <w:lang w:val="sv-FI"/>
              </w:rPr>
            </w:pPr>
            <w:r>
              <w:rPr>
                <w:rFonts w:ascii="Calibri" w:hAnsi="Calibri" w:cs="Calibri"/>
                <w:b/>
                <w:bCs/>
                <w:sz w:val="36"/>
                <w:szCs w:val="36"/>
                <w:lang w:val="sv"/>
              </w:rPr>
              <w:t>Allmänna anslutningsvillkor för gasdistributionsnätet</w:t>
            </w:r>
          </w:p>
          <w:p w14:paraId="4A74FF94" w14:textId="61DEEF14" w:rsidR="006B635E" w:rsidRPr="002E5BA2" w:rsidRDefault="006B635E" w:rsidP="002E5BA2">
            <w:pPr>
              <w:pStyle w:val="Eivli"/>
              <w:jc w:val="center"/>
              <w:rPr>
                <w:rFonts w:ascii="Calibri" w:hAnsi="Calibri" w:cs="Calibri"/>
                <w:b/>
                <w:bCs/>
                <w:sz w:val="36"/>
                <w:szCs w:val="36"/>
              </w:rPr>
            </w:pPr>
            <w:r>
              <w:rPr>
                <w:rFonts w:ascii="Calibri" w:hAnsi="Calibri" w:cs="Calibri"/>
                <w:b/>
                <w:bCs/>
                <w:sz w:val="36"/>
                <w:szCs w:val="36"/>
                <w:lang w:val="sv"/>
              </w:rPr>
              <w:t>AVG 2019</w:t>
            </w:r>
          </w:p>
        </w:tc>
      </w:tr>
      <w:tr w:rsidR="001343ED" w:rsidRPr="002E5BA2" w14:paraId="5E47E068" w14:textId="77777777" w:rsidTr="0033395A">
        <w:trPr>
          <w:trHeight w:val="720"/>
          <w:jc w:val="center"/>
        </w:trPr>
        <w:tc>
          <w:tcPr>
            <w:tcW w:w="5000" w:type="pct"/>
            <w:tcBorders>
              <w:top w:val="single" w:sz="4" w:space="0" w:color="4472C4"/>
            </w:tcBorders>
            <w:vAlign w:val="center"/>
          </w:tcPr>
          <w:p w14:paraId="42CA19AD" w14:textId="77777777" w:rsidR="0033395A" w:rsidRPr="002E5BA2" w:rsidRDefault="0033395A" w:rsidP="002E5BA2">
            <w:pPr>
              <w:pStyle w:val="Eivli"/>
              <w:jc w:val="center"/>
              <w:rPr>
                <w:rFonts w:ascii="Calibri" w:hAnsi="Calibri" w:cs="Calibri"/>
                <w:sz w:val="22"/>
                <w:szCs w:val="22"/>
              </w:rPr>
            </w:pPr>
            <w:r>
              <w:rPr>
                <w:rFonts w:ascii="Calibri" w:hAnsi="Calibri" w:cs="Calibri"/>
                <w:sz w:val="22"/>
                <w:szCs w:val="22"/>
                <w:lang w:val="sv"/>
              </w:rPr>
              <w:t xml:space="preserve">     </w:t>
            </w:r>
          </w:p>
        </w:tc>
      </w:tr>
      <w:tr w:rsidR="001343ED" w:rsidRPr="00670DD3" w14:paraId="6515092C" w14:textId="77777777" w:rsidTr="002E5BA2">
        <w:trPr>
          <w:trHeight w:val="360"/>
          <w:jc w:val="center"/>
        </w:trPr>
        <w:tc>
          <w:tcPr>
            <w:tcW w:w="5000" w:type="pct"/>
            <w:vAlign w:val="center"/>
          </w:tcPr>
          <w:p w14:paraId="0678D877" w14:textId="60FF2C8E" w:rsidR="0033395A" w:rsidRPr="00E24F9C" w:rsidRDefault="003A3D10" w:rsidP="002E5BA2">
            <w:pPr>
              <w:pStyle w:val="Eivli"/>
              <w:jc w:val="center"/>
              <w:rPr>
                <w:rFonts w:asciiTheme="minorHAnsi" w:hAnsiTheme="minorHAnsi" w:cstheme="minorHAnsi"/>
                <w:sz w:val="22"/>
                <w:szCs w:val="22"/>
                <w:lang w:val="sv-FI"/>
              </w:rPr>
            </w:pPr>
            <w:r>
              <w:rPr>
                <w:rFonts w:asciiTheme="minorHAnsi" w:hAnsiTheme="minorHAnsi" w:cstheme="minorHAnsi"/>
                <w:lang w:val="sv"/>
              </w:rPr>
              <w:t xml:space="preserve">Energimyndigheten har fastställt nedanstående anslutningsvillkor för nätinnehavarens bruk </w:t>
            </w:r>
            <w:r w:rsidR="00670DD3">
              <w:rPr>
                <w:rFonts w:asciiTheme="minorHAnsi" w:hAnsiTheme="minorHAnsi" w:cstheme="minorHAnsi"/>
                <w:lang w:val="sv"/>
              </w:rPr>
              <w:t>01.01.</w:t>
            </w:r>
            <w:bookmarkStart w:id="0" w:name="_GoBack"/>
            <w:bookmarkEnd w:id="0"/>
            <w:r>
              <w:rPr>
                <w:rFonts w:asciiTheme="minorHAnsi" w:hAnsiTheme="minorHAnsi" w:cstheme="minorHAnsi"/>
                <w:lang w:val="sv"/>
              </w:rPr>
              <w:t>2020.</w:t>
            </w:r>
          </w:p>
        </w:tc>
      </w:tr>
      <w:tr w:rsidR="001343ED" w:rsidRPr="00670DD3" w14:paraId="71F779A1" w14:textId="77777777" w:rsidTr="002E5BA2">
        <w:trPr>
          <w:trHeight w:val="360"/>
          <w:jc w:val="center"/>
        </w:trPr>
        <w:tc>
          <w:tcPr>
            <w:tcW w:w="5000" w:type="pct"/>
            <w:vAlign w:val="center"/>
          </w:tcPr>
          <w:p w14:paraId="730DC2CF" w14:textId="77777777" w:rsidR="0033395A" w:rsidRPr="00E24F9C" w:rsidRDefault="0033395A" w:rsidP="002E5BA2">
            <w:pPr>
              <w:pStyle w:val="Eivli"/>
              <w:jc w:val="center"/>
              <w:rPr>
                <w:rFonts w:ascii="Calibri" w:hAnsi="Calibri" w:cs="Calibri"/>
                <w:b/>
                <w:bCs/>
                <w:sz w:val="22"/>
                <w:szCs w:val="22"/>
                <w:lang w:val="sv-FI"/>
              </w:rPr>
            </w:pPr>
          </w:p>
        </w:tc>
      </w:tr>
      <w:tr w:rsidR="001343ED" w:rsidRPr="00670DD3" w14:paraId="6FE785FA" w14:textId="77777777" w:rsidTr="002E5BA2">
        <w:trPr>
          <w:trHeight w:val="360"/>
          <w:jc w:val="center"/>
        </w:trPr>
        <w:tc>
          <w:tcPr>
            <w:tcW w:w="5000" w:type="pct"/>
            <w:vAlign w:val="center"/>
          </w:tcPr>
          <w:p w14:paraId="3E020E33" w14:textId="60C5BA10" w:rsidR="0033395A" w:rsidRPr="00E24F9C" w:rsidRDefault="0033395A" w:rsidP="002E5BA2">
            <w:pPr>
              <w:pStyle w:val="Eivli"/>
              <w:jc w:val="center"/>
              <w:rPr>
                <w:rFonts w:ascii="Calibri" w:hAnsi="Calibri" w:cs="Calibri"/>
                <w:b/>
                <w:bCs/>
                <w:sz w:val="22"/>
                <w:szCs w:val="22"/>
                <w:lang w:val="sv-FI"/>
              </w:rPr>
            </w:pPr>
          </w:p>
        </w:tc>
      </w:tr>
    </w:tbl>
    <w:p w14:paraId="200BC4A7" w14:textId="77777777" w:rsidR="0033395A" w:rsidRPr="00E24F9C" w:rsidRDefault="0033395A" w:rsidP="0033395A">
      <w:pPr>
        <w:ind w:left="1134"/>
        <w:rPr>
          <w:rFonts w:ascii="Calibri" w:hAnsi="Calibri" w:cs="Calibri"/>
          <w:sz w:val="22"/>
          <w:szCs w:val="22"/>
          <w:lang w:val="sv-FI"/>
        </w:rPr>
      </w:pPr>
    </w:p>
    <w:p w14:paraId="7E8405D1" w14:textId="77777777" w:rsidR="0033395A" w:rsidRPr="00E24F9C" w:rsidRDefault="0033395A" w:rsidP="0033395A">
      <w:pPr>
        <w:ind w:left="1134"/>
        <w:rPr>
          <w:rFonts w:ascii="Calibri" w:hAnsi="Calibri" w:cs="Calibri"/>
          <w:sz w:val="22"/>
          <w:szCs w:val="22"/>
          <w:lang w:val="sv-FI"/>
        </w:rPr>
      </w:pPr>
    </w:p>
    <w:p w14:paraId="236C44F8" w14:textId="358A544D" w:rsidR="00EF50A6" w:rsidRDefault="00EF50A6" w:rsidP="00EF7CE9">
      <w:pPr>
        <w:rPr>
          <w:lang w:val="sv-FI"/>
        </w:rPr>
      </w:pPr>
    </w:p>
    <w:p w14:paraId="16D0E544" w14:textId="66F82CA1" w:rsidR="0065512C" w:rsidRDefault="0065512C" w:rsidP="00EF7CE9">
      <w:pPr>
        <w:rPr>
          <w:lang w:val="sv-FI"/>
        </w:rPr>
      </w:pPr>
    </w:p>
    <w:p w14:paraId="59D50EE7" w14:textId="5DA99BC4" w:rsidR="0065512C" w:rsidRDefault="0065512C" w:rsidP="00EF7CE9">
      <w:pPr>
        <w:rPr>
          <w:lang w:val="sv-FI"/>
        </w:rPr>
      </w:pPr>
    </w:p>
    <w:p w14:paraId="4EC9A4F7" w14:textId="28CA6DC0" w:rsidR="0065512C" w:rsidRDefault="0065512C" w:rsidP="00EF7CE9">
      <w:pPr>
        <w:rPr>
          <w:lang w:val="sv-FI"/>
        </w:rPr>
      </w:pPr>
    </w:p>
    <w:p w14:paraId="78E1264E" w14:textId="70876A15" w:rsidR="0065512C" w:rsidRDefault="0065512C" w:rsidP="00EF7CE9">
      <w:pPr>
        <w:rPr>
          <w:lang w:val="sv-FI"/>
        </w:rPr>
      </w:pPr>
    </w:p>
    <w:p w14:paraId="15FD8943" w14:textId="3A879CE4" w:rsidR="0065512C" w:rsidRDefault="0065512C" w:rsidP="00EF7CE9">
      <w:pPr>
        <w:rPr>
          <w:lang w:val="sv-FI"/>
        </w:rPr>
      </w:pPr>
    </w:p>
    <w:p w14:paraId="7F9AB097" w14:textId="6C7581EB" w:rsidR="0065512C" w:rsidRDefault="0065512C" w:rsidP="00EF7CE9">
      <w:pPr>
        <w:rPr>
          <w:lang w:val="sv-FI"/>
        </w:rPr>
      </w:pPr>
    </w:p>
    <w:p w14:paraId="73061851" w14:textId="4BDFD6AF" w:rsidR="0065512C" w:rsidRDefault="0065512C" w:rsidP="00EF7CE9">
      <w:pPr>
        <w:rPr>
          <w:lang w:val="sv-FI"/>
        </w:rPr>
      </w:pPr>
    </w:p>
    <w:p w14:paraId="653BC9C5" w14:textId="41B86E5F" w:rsidR="0065512C" w:rsidRDefault="0065512C" w:rsidP="00EF7CE9">
      <w:pPr>
        <w:rPr>
          <w:lang w:val="sv-FI"/>
        </w:rPr>
      </w:pPr>
    </w:p>
    <w:p w14:paraId="5B6F0A40" w14:textId="4DE92DFD" w:rsidR="0065512C" w:rsidRDefault="0065512C" w:rsidP="00EF7CE9">
      <w:pPr>
        <w:rPr>
          <w:lang w:val="sv-FI"/>
        </w:rPr>
      </w:pPr>
    </w:p>
    <w:p w14:paraId="05961C9A" w14:textId="6AD403AE" w:rsidR="0065512C" w:rsidRDefault="0065512C" w:rsidP="00EF7CE9">
      <w:pPr>
        <w:rPr>
          <w:lang w:val="sv-FI"/>
        </w:rPr>
      </w:pPr>
    </w:p>
    <w:p w14:paraId="629E0BD7" w14:textId="64392B05" w:rsidR="0065512C" w:rsidRDefault="0065512C" w:rsidP="00EF7CE9">
      <w:pPr>
        <w:rPr>
          <w:lang w:val="sv-FI"/>
        </w:rPr>
      </w:pPr>
    </w:p>
    <w:p w14:paraId="00343896" w14:textId="6E6B76D4" w:rsidR="0065512C" w:rsidRDefault="0065512C" w:rsidP="00EF7CE9">
      <w:pPr>
        <w:rPr>
          <w:lang w:val="sv-FI"/>
        </w:rPr>
      </w:pPr>
    </w:p>
    <w:p w14:paraId="2BBAA6E4" w14:textId="32A15511" w:rsidR="0065512C" w:rsidRDefault="0065512C" w:rsidP="00EF7CE9">
      <w:pPr>
        <w:rPr>
          <w:lang w:val="sv-FI"/>
        </w:rPr>
      </w:pPr>
    </w:p>
    <w:p w14:paraId="724937A7" w14:textId="7DE8F0A2" w:rsidR="0065512C" w:rsidRDefault="0065512C" w:rsidP="00EF7CE9">
      <w:pPr>
        <w:rPr>
          <w:lang w:val="sv-FI"/>
        </w:rPr>
      </w:pPr>
    </w:p>
    <w:p w14:paraId="6C647780" w14:textId="6549650E" w:rsidR="0065512C" w:rsidRDefault="0065512C" w:rsidP="00EF7CE9">
      <w:pPr>
        <w:rPr>
          <w:lang w:val="sv-FI"/>
        </w:rPr>
      </w:pPr>
    </w:p>
    <w:p w14:paraId="4BB6B828" w14:textId="3BC3A9DA" w:rsidR="0065512C" w:rsidRDefault="0065512C" w:rsidP="00EF7CE9">
      <w:pPr>
        <w:rPr>
          <w:lang w:val="sv-FI"/>
        </w:rPr>
      </w:pPr>
    </w:p>
    <w:p w14:paraId="5C57E96F" w14:textId="33A32DFA" w:rsidR="0065512C" w:rsidRDefault="0065512C" w:rsidP="00EF7CE9">
      <w:pPr>
        <w:rPr>
          <w:lang w:val="sv-FI"/>
        </w:rPr>
      </w:pPr>
    </w:p>
    <w:p w14:paraId="1627A3D1" w14:textId="09C45428" w:rsidR="0065512C" w:rsidRDefault="0065512C" w:rsidP="00EF7CE9">
      <w:pPr>
        <w:rPr>
          <w:lang w:val="sv-FI"/>
        </w:rPr>
      </w:pPr>
    </w:p>
    <w:p w14:paraId="4BDD4418" w14:textId="028A2417" w:rsidR="0065512C" w:rsidRDefault="0065512C" w:rsidP="00EF7CE9">
      <w:pPr>
        <w:rPr>
          <w:lang w:val="sv-FI"/>
        </w:rPr>
      </w:pPr>
    </w:p>
    <w:p w14:paraId="089731E4" w14:textId="2B61BFC3" w:rsidR="0065512C" w:rsidRDefault="0065512C" w:rsidP="00EF7CE9">
      <w:pPr>
        <w:rPr>
          <w:lang w:val="sv-FI"/>
        </w:rPr>
      </w:pPr>
    </w:p>
    <w:p w14:paraId="600674B2" w14:textId="72B7AB96" w:rsidR="0065512C" w:rsidRDefault="0065512C" w:rsidP="00EF7CE9">
      <w:pPr>
        <w:rPr>
          <w:lang w:val="sv-FI"/>
        </w:rPr>
      </w:pPr>
    </w:p>
    <w:p w14:paraId="0B3E96A0" w14:textId="7B2538C9" w:rsidR="0065512C" w:rsidRDefault="0065512C" w:rsidP="00EF7CE9">
      <w:pPr>
        <w:rPr>
          <w:lang w:val="sv-FI"/>
        </w:rPr>
      </w:pPr>
    </w:p>
    <w:p w14:paraId="5E006DDB" w14:textId="518347B2" w:rsidR="0065512C" w:rsidRDefault="0065512C" w:rsidP="00EF7CE9">
      <w:pPr>
        <w:rPr>
          <w:lang w:val="sv-FI"/>
        </w:rPr>
      </w:pPr>
    </w:p>
    <w:p w14:paraId="3462490A" w14:textId="3998C226" w:rsidR="0065512C" w:rsidRDefault="0065512C" w:rsidP="00EF7CE9">
      <w:pPr>
        <w:rPr>
          <w:lang w:val="sv-FI"/>
        </w:rPr>
      </w:pPr>
    </w:p>
    <w:p w14:paraId="345D0A84" w14:textId="70693434" w:rsidR="0065512C" w:rsidRDefault="0065512C" w:rsidP="00EF7CE9">
      <w:pPr>
        <w:rPr>
          <w:lang w:val="sv-FI"/>
        </w:rPr>
      </w:pPr>
    </w:p>
    <w:p w14:paraId="0F04AF52" w14:textId="41C69D27" w:rsidR="0065512C" w:rsidRDefault="0065512C" w:rsidP="00EF7CE9">
      <w:pPr>
        <w:rPr>
          <w:lang w:val="sv-FI"/>
        </w:rPr>
      </w:pPr>
    </w:p>
    <w:p w14:paraId="7B87BC21" w14:textId="21492B76" w:rsidR="0065512C" w:rsidRDefault="0065512C" w:rsidP="00EF7CE9">
      <w:pPr>
        <w:rPr>
          <w:lang w:val="sv-FI"/>
        </w:rPr>
      </w:pPr>
    </w:p>
    <w:p w14:paraId="0F150FE2" w14:textId="360F058D" w:rsidR="0065512C" w:rsidRDefault="0065512C" w:rsidP="00EF7CE9">
      <w:pPr>
        <w:rPr>
          <w:lang w:val="sv-FI"/>
        </w:rPr>
      </w:pPr>
    </w:p>
    <w:p w14:paraId="7954D1C1" w14:textId="45FFC9A8" w:rsidR="0065512C" w:rsidRDefault="0065512C" w:rsidP="00EF7CE9">
      <w:pPr>
        <w:rPr>
          <w:lang w:val="sv-FI"/>
        </w:rPr>
      </w:pPr>
    </w:p>
    <w:p w14:paraId="00E80548" w14:textId="601F4710" w:rsidR="0065512C" w:rsidRDefault="0065512C" w:rsidP="00EF7CE9">
      <w:pPr>
        <w:rPr>
          <w:lang w:val="sv-FI"/>
        </w:rPr>
      </w:pPr>
    </w:p>
    <w:p w14:paraId="2AF61B97" w14:textId="3E8D2894" w:rsidR="0065512C" w:rsidRDefault="0065512C" w:rsidP="00EF7CE9">
      <w:pPr>
        <w:rPr>
          <w:lang w:val="sv-FI"/>
        </w:rPr>
      </w:pPr>
    </w:p>
    <w:p w14:paraId="485A7C7F" w14:textId="5266FFF5" w:rsidR="0065512C" w:rsidRDefault="0065512C" w:rsidP="00EF7CE9">
      <w:pPr>
        <w:rPr>
          <w:lang w:val="sv-FI"/>
        </w:rPr>
      </w:pPr>
    </w:p>
    <w:p w14:paraId="54764274" w14:textId="17918ABB" w:rsidR="0065512C" w:rsidRDefault="0065512C" w:rsidP="00EF7CE9">
      <w:pPr>
        <w:rPr>
          <w:lang w:val="sv-FI"/>
        </w:rPr>
      </w:pPr>
      <w:r>
        <w:rPr>
          <w:lang w:val="sv-FI"/>
        </w:rPr>
        <w:t>OBS:</w:t>
      </w:r>
    </w:p>
    <w:p w14:paraId="4583F675" w14:textId="5165EC4A" w:rsidR="0065512C" w:rsidRPr="00E24F9C" w:rsidRDefault="0065512C" w:rsidP="00EF7CE9">
      <w:pPr>
        <w:rPr>
          <w:lang w:val="sv-FI"/>
        </w:rPr>
      </w:pPr>
      <w:r>
        <w:rPr>
          <w:lang w:val="sv-SE"/>
        </w:rPr>
        <w:t>Denna svenskspråkiga version är en översättning av avtalsvillkor</w:t>
      </w:r>
    </w:p>
    <w:p w14:paraId="60FAD4E7" w14:textId="77777777" w:rsidR="00EF50A6" w:rsidRPr="00E24F9C" w:rsidRDefault="00EF50A6" w:rsidP="00EF50A6">
      <w:pPr>
        <w:rPr>
          <w:lang w:val="sv-FI"/>
        </w:rPr>
      </w:pPr>
    </w:p>
    <w:p w14:paraId="0901D692" w14:textId="77777777" w:rsidR="00EF50A6" w:rsidRPr="00E24F9C" w:rsidRDefault="00EF50A6" w:rsidP="00EF50A6">
      <w:pPr>
        <w:rPr>
          <w:lang w:val="sv-FI"/>
        </w:rPr>
      </w:pPr>
    </w:p>
    <w:p w14:paraId="31847334" w14:textId="77777777" w:rsidR="00EF50A6" w:rsidRPr="00E24F9C" w:rsidRDefault="00EF50A6" w:rsidP="00EF50A6">
      <w:pPr>
        <w:rPr>
          <w:lang w:val="sv-FI"/>
        </w:rPr>
      </w:pPr>
    </w:p>
    <w:p w14:paraId="7522C1ED" w14:textId="77777777" w:rsidR="00EF50A6" w:rsidRPr="00E24F9C" w:rsidRDefault="00EF50A6" w:rsidP="00EF50A6">
      <w:pPr>
        <w:rPr>
          <w:lang w:val="sv-FI"/>
        </w:rPr>
      </w:pPr>
    </w:p>
    <w:p w14:paraId="4EF17A7A" w14:textId="77777777" w:rsidR="00EF50A6" w:rsidRPr="00E24F9C" w:rsidRDefault="00EF50A6" w:rsidP="00EF50A6">
      <w:pPr>
        <w:rPr>
          <w:lang w:val="sv-FI"/>
        </w:rPr>
      </w:pPr>
    </w:p>
    <w:p w14:paraId="5BA64B3F" w14:textId="77777777" w:rsidR="00EF50A6" w:rsidRPr="00E24F9C" w:rsidRDefault="00EF50A6" w:rsidP="00EF50A6">
      <w:pPr>
        <w:rPr>
          <w:lang w:val="sv-FI"/>
        </w:rPr>
      </w:pPr>
    </w:p>
    <w:p w14:paraId="760A1E3E" w14:textId="77777777" w:rsidR="00EF50A6" w:rsidRPr="00E24F9C" w:rsidRDefault="00EF50A6" w:rsidP="00EF50A6">
      <w:pPr>
        <w:rPr>
          <w:lang w:val="sv-FI"/>
        </w:rPr>
      </w:pPr>
    </w:p>
    <w:p w14:paraId="464FE42E" w14:textId="77777777" w:rsidR="00EF50A6" w:rsidRPr="00E24F9C" w:rsidRDefault="00EF50A6" w:rsidP="00EF50A6">
      <w:pPr>
        <w:rPr>
          <w:lang w:val="sv-FI"/>
        </w:rPr>
      </w:pPr>
    </w:p>
    <w:p w14:paraId="2CFFEC58" w14:textId="77777777" w:rsidR="00EF50A6" w:rsidRPr="00E24F9C" w:rsidRDefault="00EF50A6" w:rsidP="00EF50A6">
      <w:pPr>
        <w:rPr>
          <w:lang w:val="sv-FI"/>
        </w:rPr>
      </w:pPr>
    </w:p>
    <w:p w14:paraId="26C27150" w14:textId="77777777" w:rsidR="00EF50A6" w:rsidRPr="00E24F9C" w:rsidRDefault="00EF50A6" w:rsidP="00EF50A6">
      <w:pPr>
        <w:rPr>
          <w:lang w:val="sv-FI"/>
        </w:rPr>
      </w:pPr>
    </w:p>
    <w:p w14:paraId="6C0B7DDE" w14:textId="77777777" w:rsidR="00EF50A6" w:rsidRPr="00E24F9C" w:rsidRDefault="00EF50A6" w:rsidP="00EF50A6">
      <w:pPr>
        <w:rPr>
          <w:lang w:val="sv-FI"/>
        </w:rPr>
      </w:pPr>
    </w:p>
    <w:p w14:paraId="687FC2B0" w14:textId="77777777" w:rsidR="00EF50A6" w:rsidRPr="00E24F9C" w:rsidRDefault="00EF50A6" w:rsidP="00EF50A6">
      <w:pPr>
        <w:rPr>
          <w:lang w:val="sv-FI"/>
        </w:rPr>
      </w:pPr>
    </w:p>
    <w:p w14:paraId="695AF497" w14:textId="77777777" w:rsidR="00EF50A6" w:rsidRPr="00E24F9C" w:rsidRDefault="00EF50A6" w:rsidP="00EF50A6">
      <w:pPr>
        <w:rPr>
          <w:lang w:val="sv-FI"/>
        </w:rPr>
      </w:pPr>
    </w:p>
    <w:p w14:paraId="28076991" w14:textId="77777777" w:rsidR="00EF50A6" w:rsidRPr="00E24F9C" w:rsidRDefault="00EF50A6" w:rsidP="00EF50A6">
      <w:pPr>
        <w:rPr>
          <w:lang w:val="sv-FI"/>
        </w:rPr>
      </w:pPr>
    </w:p>
    <w:p w14:paraId="5491BF0C" w14:textId="77777777" w:rsidR="00EF50A6" w:rsidRPr="00E24F9C" w:rsidRDefault="00EF50A6" w:rsidP="00EF50A6">
      <w:pPr>
        <w:rPr>
          <w:lang w:val="sv-FI"/>
        </w:rPr>
      </w:pPr>
    </w:p>
    <w:p w14:paraId="211D316E" w14:textId="77777777" w:rsidR="00EF50A6" w:rsidRPr="00E24F9C" w:rsidRDefault="00EF50A6" w:rsidP="00EF50A6">
      <w:pPr>
        <w:rPr>
          <w:lang w:val="sv-FI"/>
        </w:rPr>
      </w:pPr>
    </w:p>
    <w:p w14:paraId="677952F5" w14:textId="77777777" w:rsidR="00EF50A6" w:rsidRPr="00E24F9C" w:rsidRDefault="00EF50A6" w:rsidP="00EF50A6">
      <w:pPr>
        <w:rPr>
          <w:lang w:val="sv-FI"/>
        </w:rPr>
      </w:pPr>
    </w:p>
    <w:p w14:paraId="5A61A834" w14:textId="77777777" w:rsidR="00EF50A6" w:rsidRPr="00E24F9C" w:rsidRDefault="00EF50A6" w:rsidP="00EF50A6">
      <w:pPr>
        <w:rPr>
          <w:lang w:val="sv-FI"/>
        </w:rPr>
      </w:pPr>
    </w:p>
    <w:p w14:paraId="68EC1CA8" w14:textId="77777777" w:rsidR="00EF50A6" w:rsidRPr="00E24F9C" w:rsidRDefault="00EF50A6" w:rsidP="00EF50A6">
      <w:pPr>
        <w:rPr>
          <w:lang w:val="sv-FI"/>
        </w:rPr>
      </w:pPr>
    </w:p>
    <w:p w14:paraId="35DBC50F" w14:textId="77777777" w:rsidR="00EF50A6" w:rsidRPr="00E24F9C" w:rsidRDefault="00EF50A6" w:rsidP="00EF50A6">
      <w:pPr>
        <w:rPr>
          <w:lang w:val="sv-FI"/>
        </w:rPr>
      </w:pPr>
    </w:p>
    <w:p w14:paraId="329EE6AD" w14:textId="77777777" w:rsidR="00EF50A6" w:rsidRPr="00E24F9C" w:rsidRDefault="00EF50A6" w:rsidP="00EF50A6">
      <w:pPr>
        <w:rPr>
          <w:lang w:val="sv-FI"/>
        </w:rPr>
      </w:pPr>
    </w:p>
    <w:p w14:paraId="60D8C520" w14:textId="77777777" w:rsidR="00EF50A6" w:rsidRPr="00E24F9C" w:rsidRDefault="00EF50A6" w:rsidP="00EF50A6">
      <w:pPr>
        <w:rPr>
          <w:lang w:val="sv-FI"/>
        </w:rPr>
      </w:pPr>
    </w:p>
    <w:p w14:paraId="22B6CAB5" w14:textId="77777777" w:rsidR="00EF50A6" w:rsidRPr="00E24F9C" w:rsidRDefault="00EF50A6" w:rsidP="00EF50A6">
      <w:pPr>
        <w:rPr>
          <w:lang w:val="sv-FI"/>
        </w:rPr>
      </w:pPr>
    </w:p>
    <w:p w14:paraId="50403F2B" w14:textId="77777777" w:rsidR="00EF50A6" w:rsidRPr="00E24F9C" w:rsidRDefault="00EF50A6" w:rsidP="00EF50A6">
      <w:pPr>
        <w:rPr>
          <w:lang w:val="sv-FI"/>
        </w:rPr>
      </w:pPr>
    </w:p>
    <w:p w14:paraId="42146112" w14:textId="77777777" w:rsidR="00EF50A6" w:rsidRPr="00E24F9C" w:rsidRDefault="00EF50A6" w:rsidP="00EF50A6">
      <w:pPr>
        <w:rPr>
          <w:lang w:val="sv-FI"/>
        </w:rPr>
      </w:pPr>
    </w:p>
    <w:p w14:paraId="0C0C5591" w14:textId="77777777" w:rsidR="00EF50A6" w:rsidRPr="00E24F9C" w:rsidRDefault="00EF50A6" w:rsidP="00EF50A6">
      <w:pPr>
        <w:rPr>
          <w:lang w:val="sv-FI"/>
        </w:rPr>
      </w:pPr>
    </w:p>
    <w:p w14:paraId="109D02B8" w14:textId="77777777" w:rsidR="00EF50A6" w:rsidRPr="00E24F9C" w:rsidRDefault="00EF50A6" w:rsidP="00EF50A6">
      <w:pPr>
        <w:rPr>
          <w:lang w:val="sv-FI"/>
        </w:rPr>
      </w:pPr>
    </w:p>
    <w:p w14:paraId="68888852" w14:textId="77777777" w:rsidR="00EF50A6" w:rsidRPr="00E24F9C" w:rsidRDefault="00EF50A6" w:rsidP="00EF50A6">
      <w:pPr>
        <w:rPr>
          <w:lang w:val="sv-FI"/>
        </w:rPr>
      </w:pPr>
    </w:p>
    <w:p w14:paraId="069D6AF5" w14:textId="77777777" w:rsidR="00EF50A6" w:rsidRPr="006C4CF7" w:rsidRDefault="00EF50A6" w:rsidP="00EF50A6">
      <w:pPr>
        <w:rPr>
          <w:lang w:val="sv-FI"/>
        </w:rPr>
      </w:pPr>
    </w:p>
    <w:p w14:paraId="4FB1C77A" w14:textId="77777777" w:rsidR="00EF50A6" w:rsidRPr="00E24F9C" w:rsidRDefault="00EF50A6" w:rsidP="00EF50A6">
      <w:pPr>
        <w:rPr>
          <w:lang w:val="sv-FI"/>
        </w:rPr>
      </w:pPr>
    </w:p>
    <w:p w14:paraId="613C0090" w14:textId="77777777" w:rsidR="00EF50A6" w:rsidRPr="00E24F9C" w:rsidRDefault="00EF50A6" w:rsidP="00EF50A6">
      <w:pPr>
        <w:rPr>
          <w:lang w:val="sv-FI"/>
        </w:rPr>
      </w:pPr>
    </w:p>
    <w:p w14:paraId="3A127CAA" w14:textId="77777777" w:rsidR="00EF50A6" w:rsidRPr="00E24F9C" w:rsidRDefault="00EF50A6" w:rsidP="00EF50A6">
      <w:pPr>
        <w:rPr>
          <w:lang w:val="sv-FI"/>
        </w:rPr>
      </w:pPr>
    </w:p>
    <w:p w14:paraId="691E1183" w14:textId="77777777" w:rsidR="00EF50A6" w:rsidRPr="00E24F9C" w:rsidRDefault="00EF50A6" w:rsidP="00EF50A6">
      <w:pPr>
        <w:rPr>
          <w:lang w:val="sv-FI"/>
        </w:rPr>
      </w:pPr>
    </w:p>
    <w:p w14:paraId="3625A9AA" w14:textId="77777777" w:rsidR="00EF50A6" w:rsidRPr="00E24F9C" w:rsidRDefault="00EF50A6" w:rsidP="00EF50A6">
      <w:pPr>
        <w:rPr>
          <w:lang w:val="sv-FI"/>
        </w:rPr>
      </w:pPr>
    </w:p>
    <w:p w14:paraId="56678708" w14:textId="77777777" w:rsidR="00EF50A6" w:rsidRPr="00E24F9C" w:rsidRDefault="00EF50A6" w:rsidP="00EF50A6">
      <w:pPr>
        <w:rPr>
          <w:lang w:val="sv-FI"/>
        </w:rPr>
      </w:pPr>
    </w:p>
    <w:p w14:paraId="075BD02E" w14:textId="2502B4DE" w:rsidR="0033395A" w:rsidRPr="0065512C" w:rsidRDefault="0033395A" w:rsidP="00EF7CE9">
      <w:pPr>
        <w:rPr>
          <w:rFonts w:asciiTheme="majorHAnsi" w:hAnsiTheme="majorHAnsi"/>
          <w:sz w:val="28"/>
          <w:szCs w:val="28"/>
          <w:lang w:val="sv-SE"/>
        </w:rPr>
      </w:pPr>
      <w:r>
        <w:rPr>
          <w:rFonts w:asciiTheme="majorHAnsi" w:hAnsiTheme="majorHAnsi"/>
          <w:lang w:val="sv"/>
        </w:rPr>
        <w:br w:type="page"/>
      </w:r>
      <w:r>
        <w:rPr>
          <w:rFonts w:asciiTheme="majorHAnsi" w:hAnsiTheme="majorHAnsi"/>
          <w:sz w:val="28"/>
          <w:szCs w:val="28"/>
          <w:lang w:val="sv"/>
        </w:rPr>
        <w:lastRenderedPageBreak/>
        <w:t>INNEHÅLL</w:t>
      </w:r>
    </w:p>
    <w:p w14:paraId="4658860C" w14:textId="4D1B62CF" w:rsidR="00DF4FE8" w:rsidRPr="0065512C" w:rsidRDefault="00DF4FE8" w:rsidP="00EF7CE9">
      <w:pPr>
        <w:rPr>
          <w:rFonts w:asciiTheme="majorHAnsi" w:hAnsiTheme="majorHAnsi"/>
          <w:lang w:val="sv-SE"/>
        </w:rPr>
      </w:pPr>
    </w:p>
    <w:p w14:paraId="2EAA80FB" w14:textId="77777777" w:rsidR="00DF4FE8" w:rsidRPr="0065512C" w:rsidRDefault="00DF4FE8" w:rsidP="00EF7CE9">
      <w:pPr>
        <w:rPr>
          <w:rFonts w:asciiTheme="majorHAnsi" w:hAnsiTheme="majorHAnsi"/>
          <w:lang w:val="sv-SE"/>
        </w:rPr>
      </w:pPr>
    </w:p>
    <w:p w14:paraId="684E1946" w14:textId="467153C5" w:rsidR="0033395A" w:rsidRPr="0065512C" w:rsidRDefault="00DF4FE8" w:rsidP="0033395A">
      <w:pPr>
        <w:rPr>
          <w:rFonts w:asciiTheme="majorHAnsi" w:hAnsiTheme="majorHAnsi"/>
          <w:b/>
          <w:bCs/>
          <w:sz w:val="28"/>
          <w:szCs w:val="28"/>
          <w:lang w:val="sv-SE"/>
        </w:rPr>
      </w:pPr>
      <w:r>
        <w:rPr>
          <w:rFonts w:asciiTheme="majorHAnsi" w:hAnsiTheme="majorHAnsi"/>
          <w:b/>
          <w:bCs/>
          <w:sz w:val="28"/>
          <w:szCs w:val="28"/>
          <w:lang w:val="sv"/>
        </w:rPr>
        <w:t>ANSLUTNINGSVILLKOR FÖR GASDISTRIBUTIONSNÄTET</w:t>
      </w:r>
    </w:p>
    <w:p w14:paraId="04A7757A" w14:textId="77777777" w:rsidR="007C51FD" w:rsidRPr="0065512C" w:rsidRDefault="007C51FD" w:rsidP="0033395A">
      <w:pPr>
        <w:rPr>
          <w:rFonts w:asciiTheme="majorHAnsi" w:hAnsiTheme="majorHAnsi"/>
          <w:b/>
          <w:bCs/>
          <w:sz w:val="28"/>
          <w:szCs w:val="28"/>
          <w:lang w:val="sv-SE"/>
        </w:rPr>
      </w:pPr>
    </w:p>
    <w:p w14:paraId="21FF320D" w14:textId="15D98430" w:rsidR="00232C67" w:rsidRDefault="0033395A">
      <w:pPr>
        <w:pStyle w:val="Sisluet1"/>
        <w:tabs>
          <w:tab w:val="left" w:pos="400"/>
          <w:tab w:val="right" w:leader="dot" w:pos="9628"/>
        </w:tabs>
        <w:rPr>
          <w:rFonts w:asciiTheme="minorHAnsi" w:eastAsiaTheme="minorEastAsia" w:hAnsiTheme="minorHAnsi" w:cstheme="minorBidi"/>
          <w:noProof/>
        </w:rPr>
      </w:pPr>
      <w:r>
        <w:rPr>
          <w:rStyle w:val="Hyperlinkki"/>
          <w:rFonts w:ascii="Verdana" w:hAnsi="Verdana"/>
          <w:noProof/>
          <w:szCs w:val="20"/>
          <w:lang w:val="sv"/>
        </w:rPr>
        <w:fldChar w:fldCharType="begin"/>
      </w:r>
      <w:r>
        <w:rPr>
          <w:rStyle w:val="Hyperlinkki"/>
          <w:rFonts w:ascii="Verdana" w:hAnsi="Verdana"/>
          <w:noProof/>
          <w:szCs w:val="20"/>
        </w:rPr>
        <w:instrText xml:space="preserve"> TOC \o "1-3" \h \z \u </w:instrText>
      </w:r>
      <w:r>
        <w:rPr>
          <w:rStyle w:val="Hyperlinkki"/>
          <w:rFonts w:ascii="Verdana" w:hAnsi="Verdana"/>
          <w:noProof/>
          <w:szCs w:val="20"/>
        </w:rPr>
        <w:fldChar w:fldCharType="separate"/>
      </w:r>
      <w:hyperlink w:anchor="_Toc27580306" w:history="1">
        <w:r w:rsidR="00232C67" w:rsidRPr="00093D16">
          <w:rPr>
            <w:rStyle w:val="Hyperlinkki"/>
            <w:rFonts w:asciiTheme="majorHAnsi" w:hAnsiTheme="majorHAnsi" w:cstheme="majorHAnsi"/>
            <w:noProof/>
          </w:rPr>
          <w:t>1.</w:t>
        </w:r>
        <w:r w:rsidR="00232C67">
          <w:rPr>
            <w:rFonts w:asciiTheme="minorHAnsi" w:eastAsiaTheme="minorEastAsia" w:hAnsiTheme="minorHAnsi" w:cstheme="minorBidi"/>
            <w:noProof/>
          </w:rPr>
          <w:tab/>
        </w:r>
        <w:r w:rsidR="00232C67" w:rsidRPr="00093D16">
          <w:rPr>
            <w:rStyle w:val="Hyperlinkki"/>
            <w:rFonts w:asciiTheme="majorHAnsi" w:hAnsiTheme="majorHAnsi" w:cstheme="majorHAnsi"/>
            <w:noProof/>
            <w:lang w:val="sv"/>
          </w:rPr>
          <w:t>Tillämpningsområde</w:t>
        </w:r>
        <w:r w:rsidR="00232C67">
          <w:rPr>
            <w:noProof/>
            <w:webHidden/>
          </w:rPr>
          <w:tab/>
        </w:r>
        <w:r w:rsidR="00232C67">
          <w:rPr>
            <w:noProof/>
            <w:webHidden/>
          </w:rPr>
          <w:fldChar w:fldCharType="begin"/>
        </w:r>
        <w:r w:rsidR="00232C67">
          <w:rPr>
            <w:noProof/>
            <w:webHidden/>
          </w:rPr>
          <w:instrText xml:space="preserve"> PAGEREF _Toc27580306 \h </w:instrText>
        </w:r>
        <w:r w:rsidR="00232C67">
          <w:rPr>
            <w:noProof/>
            <w:webHidden/>
          </w:rPr>
        </w:r>
        <w:r w:rsidR="00232C67">
          <w:rPr>
            <w:noProof/>
            <w:webHidden/>
          </w:rPr>
          <w:fldChar w:fldCharType="separate"/>
        </w:r>
        <w:r w:rsidR="00232C67">
          <w:rPr>
            <w:noProof/>
            <w:webHidden/>
          </w:rPr>
          <w:t>2</w:t>
        </w:r>
        <w:r w:rsidR="00232C67">
          <w:rPr>
            <w:noProof/>
            <w:webHidden/>
          </w:rPr>
          <w:fldChar w:fldCharType="end"/>
        </w:r>
      </w:hyperlink>
    </w:p>
    <w:p w14:paraId="562FE57A" w14:textId="3C266B94" w:rsidR="00232C67" w:rsidRDefault="00670DD3">
      <w:pPr>
        <w:pStyle w:val="Sisluet1"/>
        <w:tabs>
          <w:tab w:val="left" w:pos="400"/>
          <w:tab w:val="right" w:leader="dot" w:pos="9628"/>
        </w:tabs>
        <w:rPr>
          <w:rFonts w:asciiTheme="minorHAnsi" w:eastAsiaTheme="minorEastAsia" w:hAnsiTheme="minorHAnsi" w:cstheme="minorBidi"/>
          <w:noProof/>
        </w:rPr>
      </w:pPr>
      <w:hyperlink w:anchor="_Toc27580307" w:history="1">
        <w:r w:rsidR="00232C67" w:rsidRPr="00093D16">
          <w:rPr>
            <w:rStyle w:val="Hyperlinkki"/>
            <w:rFonts w:asciiTheme="majorHAnsi" w:hAnsiTheme="majorHAnsi" w:cstheme="majorHAnsi"/>
            <w:noProof/>
          </w:rPr>
          <w:t>2.</w:t>
        </w:r>
        <w:r w:rsidR="00232C67">
          <w:rPr>
            <w:rFonts w:asciiTheme="minorHAnsi" w:eastAsiaTheme="minorEastAsia" w:hAnsiTheme="minorHAnsi" w:cstheme="minorBidi"/>
            <w:noProof/>
          </w:rPr>
          <w:tab/>
        </w:r>
        <w:r w:rsidR="00232C67" w:rsidRPr="00093D16">
          <w:rPr>
            <w:rStyle w:val="Hyperlinkki"/>
            <w:rFonts w:asciiTheme="majorHAnsi" w:hAnsiTheme="majorHAnsi" w:cstheme="majorHAnsi"/>
            <w:noProof/>
            <w:lang w:val="sv"/>
          </w:rPr>
          <w:t>Definitioner</w:t>
        </w:r>
        <w:r w:rsidR="00232C67">
          <w:rPr>
            <w:noProof/>
            <w:webHidden/>
          </w:rPr>
          <w:tab/>
        </w:r>
        <w:r w:rsidR="00232C67">
          <w:rPr>
            <w:noProof/>
            <w:webHidden/>
          </w:rPr>
          <w:fldChar w:fldCharType="begin"/>
        </w:r>
        <w:r w:rsidR="00232C67">
          <w:rPr>
            <w:noProof/>
            <w:webHidden/>
          </w:rPr>
          <w:instrText xml:space="preserve"> PAGEREF _Toc27580307 \h </w:instrText>
        </w:r>
        <w:r w:rsidR="00232C67">
          <w:rPr>
            <w:noProof/>
            <w:webHidden/>
          </w:rPr>
        </w:r>
        <w:r w:rsidR="00232C67">
          <w:rPr>
            <w:noProof/>
            <w:webHidden/>
          </w:rPr>
          <w:fldChar w:fldCharType="separate"/>
        </w:r>
        <w:r w:rsidR="00232C67">
          <w:rPr>
            <w:noProof/>
            <w:webHidden/>
          </w:rPr>
          <w:t>2</w:t>
        </w:r>
        <w:r w:rsidR="00232C67">
          <w:rPr>
            <w:noProof/>
            <w:webHidden/>
          </w:rPr>
          <w:fldChar w:fldCharType="end"/>
        </w:r>
      </w:hyperlink>
    </w:p>
    <w:p w14:paraId="06836179" w14:textId="1C3B453F" w:rsidR="00232C67" w:rsidRDefault="00670DD3">
      <w:pPr>
        <w:pStyle w:val="Sisluet1"/>
        <w:tabs>
          <w:tab w:val="left" w:pos="400"/>
          <w:tab w:val="right" w:leader="dot" w:pos="9628"/>
        </w:tabs>
        <w:rPr>
          <w:rFonts w:asciiTheme="minorHAnsi" w:eastAsiaTheme="minorEastAsia" w:hAnsiTheme="minorHAnsi" w:cstheme="minorBidi"/>
          <w:noProof/>
        </w:rPr>
      </w:pPr>
      <w:hyperlink w:anchor="_Toc27580308" w:history="1">
        <w:r w:rsidR="00232C67" w:rsidRPr="00093D16">
          <w:rPr>
            <w:rStyle w:val="Hyperlinkki"/>
            <w:rFonts w:asciiTheme="majorHAnsi" w:hAnsiTheme="majorHAnsi" w:cstheme="majorHAnsi"/>
            <w:noProof/>
            <w:lang w:val="sv-FI"/>
          </w:rPr>
          <w:t>3.</w:t>
        </w:r>
        <w:r w:rsidR="00232C67">
          <w:rPr>
            <w:rFonts w:asciiTheme="minorHAnsi" w:eastAsiaTheme="minorEastAsia" w:hAnsiTheme="minorHAnsi" w:cstheme="minorBidi"/>
            <w:noProof/>
          </w:rPr>
          <w:tab/>
        </w:r>
        <w:r w:rsidR="00232C67" w:rsidRPr="00093D16">
          <w:rPr>
            <w:rStyle w:val="Hyperlinkki"/>
            <w:rFonts w:asciiTheme="majorHAnsi" w:hAnsiTheme="majorHAnsi" w:cstheme="majorHAnsi"/>
            <w:noProof/>
            <w:lang w:val="sv"/>
          </w:rPr>
          <w:t>Ingående av gasanslutningsavtal och övriga nödvändiga avtal</w:t>
        </w:r>
        <w:r w:rsidR="00232C67">
          <w:rPr>
            <w:noProof/>
            <w:webHidden/>
          </w:rPr>
          <w:tab/>
        </w:r>
        <w:r w:rsidR="00232C67">
          <w:rPr>
            <w:noProof/>
            <w:webHidden/>
          </w:rPr>
          <w:fldChar w:fldCharType="begin"/>
        </w:r>
        <w:r w:rsidR="00232C67">
          <w:rPr>
            <w:noProof/>
            <w:webHidden/>
          </w:rPr>
          <w:instrText xml:space="preserve"> PAGEREF _Toc27580308 \h </w:instrText>
        </w:r>
        <w:r w:rsidR="00232C67">
          <w:rPr>
            <w:noProof/>
            <w:webHidden/>
          </w:rPr>
        </w:r>
        <w:r w:rsidR="00232C67">
          <w:rPr>
            <w:noProof/>
            <w:webHidden/>
          </w:rPr>
          <w:fldChar w:fldCharType="separate"/>
        </w:r>
        <w:r w:rsidR="00232C67">
          <w:rPr>
            <w:noProof/>
            <w:webHidden/>
          </w:rPr>
          <w:t>3</w:t>
        </w:r>
        <w:r w:rsidR="00232C67">
          <w:rPr>
            <w:noProof/>
            <w:webHidden/>
          </w:rPr>
          <w:fldChar w:fldCharType="end"/>
        </w:r>
      </w:hyperlink>
    </w:p>
    <w:p w14:paraId="793F24DD" w14:textId="2CD9DE6D" w:rsidR="00232C67" w:rsidRDefault="00670DD3">
      <w:pPr>
        <w:pStyle w:val="Sisluet1"/>
        <w:tabs>
          <w:tab w:val="left" w:pos="400"/>
          <w:tab w:val="right" w:leader="dot" w:pos="9628"/>
        </w:tabs>
        <w:rPr>
          <w:rFonts w:asciiTheme="minorHAnsi" w:eastAsiaTheme="minorEastAsia" w:hAnsiTheme="minorHAnsi" w:cstheme="minorBidi"/>
          <w:noProof/>
        </w:rPr>
      </w:pPr>
      <w:hyperlink w:anchor="_Toc27580309" w:history="1">
        <w:r w:rsidR="00232C67" w:rsidRPr="00093D16">
          <w:rPr>
            <w:rStyle w:val="Hyperlinkki"/>
            <w:rFonts w:asciiTheme="majorHAnsi" w:hAnsiTheme="majorHAnsi" w:cstheme="majorHAnsi"/>
            <w:noProof/>
          </w:rPr>
          <w:t>4.</w:t>
        </w:r>
        <w:r w:rsidR="00232C67">
          <w:rPr>
            <w:rFonts w:asciiTheme="minorHAnsi" w:eastAsiaTheme="minorEastAsia" w:hAnsiTheme="minorHAnsi" w:cstheme="minorBidi"/>
            <w:noProof/>
          </w:rPr>
          <w:tab/>
        </w:r>
        <w:r w:rsidR="00232C67" w:rsidRPr="00093D16">
          <w:rPr>
            <w:rStyle w:val="Hyperlinkki"/>
            <w:rFonts w:asciiTheme="majorHAnsi" w:hAnsiTheme="majorHAnsi" w:cstheme="majorHAnsi"/>
            <w:noProof/>
            <w:lang w:val="sv"/>
          </w:rPr>
          <w:t>Anslutningseffekt och anslutningsavgift</w:t>
        </w:r>
        <w:r w:rsidR="00232C67">
          <w:rPr>
            <w:noProof/>
            <w:webHidden/>
          </w:rPr>
          <w:tab/>
        </w:r>
        <w:r w:rsidR="00232C67">
          <w:rPr>
            <w:noProof/>
            <w:webHidden/>
          </w:rPr>
          <w:fldChar w:fldCharType="begin"/>
        </w:r>
        <w:r w:rsidR="00232C67">
          <w:rPr>
            <w:noProof/>
            <w:webHidden/>
          </w:rPr>
          <w:instrText xml:space="preserve"> PAGEREF _Toc27580309 \h </w:instrText>
        </w:r>
        <w:r w:rsidR="00232C67">
          <w:rPr>
            <w:noProof/>
            <w:webHidden/>
          </w:rPr>
        </w:r>
        <w:r w:rsidR="00232C67">
          <w:rPr>
            <w:noProof/>
            <w:webHidden/>
          </w:rPr>
          <w:fldChar w:fldCharType="separate"/>
        </w:r>
        <w:r w:rsidR="00232C67">
          <w:rPr>
            <w:noProof/>
            <w:webHidden/>
          </w:rPr>
          <w:t>4</w:t>
        </w:r>
        <w:r w:rsidR="00232C67">
          <w:rPr>
            <w:noProof/>
            <w:webHidden/>
          </w:rPr>
          <w:fldChar w:fldCharType="end"/>
        </w:r>
      </w:hyperlink>
    </w:p>
    <w:p w14:paraId="06761E30" w14:textId="1597BDE0" w:rsidR="00232C67" w:rsidRDefault="00670DD3">
      <w:pPr>
        <w:pStyle w:val="Sisluet1"/>
        <w:tabs>
          <w:tab w:val="left" w:pos="400"/>
          <w:tab w:val="right" w:leader="dot" w:pos="9628"/>
        </w:tabs>
        <w:rPr>
          <w:rFonts w:asciiTheme="minorHAnsi" w:eastAsiaTheme="minorEastAsia" w:hAnsiTheme="minorHAnsi" w:cstheme="minorBidi"/>
          <w:noProof/>
        </w:rPr>
      </w:pPr>
      <w:hyperlink w:anchor="_Toc27580310" w:history="1">
        <w:r w:rsidR="00232C67" w:rsidRPr="00093D16">
          <w:rPr>
            <w:rStyle w:val="Hyperlinkki"/>
            <w:rFonts w:asciiTheme="majorHAnsi" w:hAnsiTheme="majorHAnsi" w:cstheme="majorHAnsi"/>
            <w:noProof/>
          </w:rPr>
          <w:t>5.</w:t>
        </w:r>
        <w:r w:rsidR="00232C67">
          <w:rPr>
            <w:rFonts w:asciiTheme="minorHAnsi" w:eastAsiaTheme="minorEastAsia" w:hAnsiTheme="minorHAnsi" w:cstheme="minorBidi"/>
            <w:noProof/>
          </w:rPr>
          <w:tab/>
        </w:r>
        <w:r w:rsidR="00232C67" w:rsidRPr="00093D16">
          <w:rPr>
            <w:rStyle w:val="Hyperlinkki"/>
            <w:rFonts w:asciiTheme="majorHAnsi" w:hAnsiTheme="majorHAnsi" w:cstheme="majorHAnsi"/>
            <w:noProof/>
            <w:lang w:val="sv"/>
          </w:rPr>
          <w:t>Leverans av anslutningen</w:t>
        </w:r>
        <w:r w:rsidR="00232C67">
          <w:rPr>
            <w:noProof/>
            <w:webHidden/>
          </w:rPr>
          <w:tab/>
        </w:r>
        <w:r w:rsidR="00232C67">
          <w:rPr>
            <w:noProof/>
            <w:webHidden/>
          </w:rPr>
          <w:fldChar w:fldCharType="begin"/>
        </w:r>
        <w:r w:rsidR="00232C67">
          <w:rPr>
            <w:noProof/>
            <w:webHidden/>
          </w:rPr>
          <w:instrText xml:space="preserve"> PAGEREF _Toc27580310 \h </w:instrText>
        </w:r>
        <w:r w:rsidR="00232C67">
          <w:rPr>
            <w:noProof/>
            <w:webHidden/>
          </w:rPr>
        </w:r>
        <w:r w:rsidR="00232C67">
          <w:rPr>
            <w:noProof/>
            <w:webHidden/>
          </w:rPr>
          <w:fldChar w:fldCharType="separate"/>
        </w:r>
        <w:r w:rsidR="00232C67">
          <w:rPr>
            <w:noProof/>
            <w:webHidden/>
          </w:rPr>
          <w:t>4</w:t>
        </w:r>
        <w:r w:rsidR="00232C67">
          <w:rPr>
            <w:noProof/>
            <w:webHidden/>
          </w:rPr>
          <w:fldChar w:fldCharType="end"/>
        </w:r>
      </w:hyperlink>
    </w:p>
    <w:p w14:paraId="7C70BA20" w14:textId="194F1782" w:rsidR="00232C67" w:rsidRDefault="00670DD3">
      <w:pPr>
        <w:pStyle w:val="Sisluet1"/>
        <w:tabs>
          <w:tab w:val="left" w:pos="400"/>
          <w:tab w:val="right" w:leader="dot" w:pos="9628"/>
        </w:tabs>
        <w:rPr>
          <w:rFonts w:asciiTheme="minorHAnsi" w:eastAsiaTheme="minorEastAsia" w:hAnsiTheme="minorHAnsi" w:cstheme="minorBidi"/>
          <w:noProof/>
        </w:rPr>
      </w:pPr>
      <w:hyperlink w:anchor="_Toc27580311" w:history="1">
        <w:r w:rsidR="00232C67" w:rsidRPr="00093D16">
          <w:rPr>
            <w:rStyle w:val="Hyperlinkki"/>
            <w:rFonts w:asciiTheme="majorHAnsi" w:hAnsiTheme="majorHAnsi" w:cstheme="majorHAnsi"/>
            <w:noProof/>
            <w:lang w:val="sv-FI"/>
          </w:rPr>
          <w:t>6.</w:t>
        </w:r>
        <w:r w:rsidR="00232C67">
          <w:rPr>
            <w:rFonts w:asciiTheme="minorHAnsi" w:eastAsiaTheme="minorEastAsia" w:hAnsiTheme="minorHAnsi" w:cstheme="minorBidi"/>
            <w:noProof/>
          </w:rPr>
          <w:tab/>
        </w:r>
        <w:r w:rsidR="00232C67" w:rsidRPr="00093D16">
          <w:rPr>
            <w:rStyle w:val="Hyperlinkki"/>
            <w:rFonts w:asciiTheme="majorHAnsi" w:hAnsiTheme="majorHAnsi" w:cstheme="majorHAnsi"/>
            <w:noProof/>
            <w:lang w:val="sv"/>
          </w:rPr>
          <w:t>Byggande av anslutningen och nödvändiga nyttjanderätter</w:t>
        </w:r>
        <w:r w:rsidR="00232C67">
          <w:rPr>
            <w:noProof/>
            <w:webHidden/>
          </w:rPr>
          <w:tab/>
        </w:r>
        <w:r w:rsidR="00232C67">
          <w:rPr>
            <w:noProof/>
            <w:webHidden/>
          </w:rPr>
          <w:fldChar w:fldCharType="begin"/>
        </w:r>
        <w:r w:rsidR="00232C67">
          <w:rPr>
            <w:noProof/>
            <w:webHidden/>
          </w:rPr>
          <w:instrText xml:space="preserve"> PAGEREF _Toc27580311 \h </w:instrText>
        </w:r>
        <w:r w:rsidR="00232C67">
          <w:rPr>
            <w:noProof/>
            <w:webHidden/>
          </w:rPr>
        </w:r>
        <w:r w:rsidR="00232C67">
          <w:rPr>
            <w:noProof/>
            <w:webHidden/>
          </w:rPr>
          <w:fldChar w:fldCharType="separate"/>
        </w:r>
        <w:r w:rsidR="00232C67">
          <w:rPr>
            <w:noProof/>
            <w:webHidden/>
          </w:rPr>
          <w:t>6</w:t>
        </w:r>
        <w:r w:rsidR="00232C67">
          <w:rPr>
            <w:noProof/>
            <w:webHidden/>
          </w:rPr>
          <w:fldChar w:fldCharType="end"/>
        </w:r>
      </w:hyperlink>
    </w:p>
    <w:p w14:paraId="0BA161A7" w14:textId="7932D166" w:rsidR="00232C67" w:rsidRDefault="00670DD3">
      <w:pPr>
        <w:pStyle w:val="Sisluet1"/>
        <w:tabs>
          <w:tab w:val="left" w:pos="400"/>
          <w:tab w:val="right" w:leader="dot" w:pos="9628"/>
        </w:tabs>
        <w:rPr>
          <w:rFonts w:asciiTheme="minorHAnsi" w:eastAsiaTheme="minorEastAsia" w:hAnsiTheme="minorHAnsi" w:cstheme="minorBidi"/>
          <w:noProof/>
        </w:rPr>
      </w:pPr>
      <w:hyperlink w:anchor="_Toc27580312" w:history="1">
        <w:r w:rsidR="00232C67" w:rsidRPr="00093D16">
          <w:rPr>
            <w:rStyle w:val="Hyperlinkki"/>
            <w:rFonts w:asciiTheme="majorHAnsi" w:hAnsiTheme="majorHAnsi" w:cstheme="majorHAnsi"/>
            <w:noProof/>
          </w:rPr>
          <w:t>7.</w:t>
        </w:r>
        <w:r w:rsidR="00232C67">
          <w:rPr>
            <w:rFonts w:asciiTheme="minorHAnsi" w:eastAsiaTheme="minorEastAsia" w:hAnsiTheme="minorHAnsi" w:cstheme="minorBidi"/>
            <w:noProof/>
          </w:rPr>
          <w:tab/>
        </w:r>
        <w:r w:rsidR="00232C67" w:rsidRPr="00093D16">
          <w:rPr>
            <w:rStyle w:val="Hyperlinkki"/>
            <w:rFonts w:asciiTheme="majorHAnsi" w:hAnsiTheme="majorHAnsi" w:cstheme="majorHAnsi"/>
            <w:noProof/>
            <w:lang w:val="sv"/>
          </w:rPr>
          <w:t>Upprätthållande av anslutningen</w:t>
        </w:r>
        <w:r w:rsidR="00232C67">
          <w:rPr>
            <w:noProof/>
            <w:webHidden/>
          </w:rPr>
          <w:tab/>
        </w:r>
        <w:r w:rsidR="00232C67">
          <w:rPr>
            <w:noProof/>
            <w:webHidden/>
          </w:rPr>
          <w:fldChar w:fldCharType="begin"/>
        </w:r>
        <w:r w:rsidR="00232C67">
          <w:rPr>
            <w:noProof/>
            <w:webHidden/>
          </w:rPr>
          <w:instrText xml:space="preserve"> PAGEREF _Toc27580312 \h </w:instrText>
        </w:r>
        <w:r w:rsidR="00232C67">
          <w:rPr>
            <w:noProof/>
            <w:webHidden/>
          </w:rPr>
        </w:r>
        <w:r w:rsidR="00232C67">
          <w:rPr>
            <w:noProof/>
            <w:webHidden/>
          </w:rPr>
          <w:fldChar w:fldCharType="separate"/>
        </w:r>
        <w:r w:rsidR="00232C67">
          <w:rPr>
            <w:noProof/>
            <w:webHidden/>
          </w:rPr>
          <w:t>6</w:t>
        </w:r>
        <w:r w:rsidR="00232C67">
          <w:rPr>
            <w:noProof/>
            <w:webHidden/>
          </w:rPr>
          <w:fldChar w:fldCharType="end"/>
        </w:r>
      </w:hyperlink>
    </w:p>
    <w:p w14:paraId="492BF93E" w14:textId="35E587D4" w:rsidR="00232C67" w:rsidRDefault="00670DD3">
      <w:pPr>
        <w:pStyle w:val="Sisluet1"/>
        <w:tabs>
          <w:tab w:val="left" w:pos="400"/>
          <w:tab w:val="right" w:leader="dot" w:pos="9628"/>
        </w:tabs>
        <w:rPr>
          <w:rFonts w:asciiTheme="minorHAnsi" w:eastAsiaTheme="minorEastAsia" w:hAnsiTheme="minorHAnsi" w:cstheme="minorBidi"/>
          <w:noProof/>
        </w:rPr>
      </w:pPr>
      <w:hyperlink w:anchor="_Toc27580313" w:history="1">
        <w:r w:rsidR="00232C67" w:rsidRPr="00093D16">
          <w:rPr>
            <w:rStyle w:val="Hyperlinkki"/>
            <w:rFonts w:asciiTheme="majorHAnsi" w:hAnsiTheme="majorHAnsi" w:cstheme="majorHAnsi"/>
            <w:noProof/>
          </w:rPr>
          <w:t>8.</w:t>
        </w:r>
        <w:r w:rsidR="00232C67">
          <w:rPr>
            <w:rFonts w:asciiTheme="minorHAnsi" w:eastAsiaTheme="minorEastAsia" w:hAnsiTheme="minorHAnsi" w:cstheme="minorBidi"/>
            <w:noProof/>
          </w:rPr>
          <w:tab/>
        </w:r>
        <w:r w:rsidR="00232C67" w:rsidRPr="00093D16">
          <w:rPr>
            <w:rStyle w:val="Hyperlinkki"/>
            <w:rFonts w:asciiTheme="majorHAnsi" w:hAnsiTheme="majorHAnsi" w:cstheme="majorHAnsi"/>
            <w:noProof/>
            <w:lang w:val="sv"/>
          </w:rPr>
          <w:t>Anslutningens driftsäkerhet och underhåll</w:t>
        </w:r>
        <w:r w:rsidR="00232C67">
          <w:rPr>
            <w:noProof/>
            <w:webHidden/>
          </w:rPr>
          <w:tab/>
        </w:r>
        <w:r w:rsidR="00232C67">
          <w:rPr>
            <w:noProof/>
            <w:webHidden/>
          </w:rPr>
          <w:fldChar w:fldCharType="begin"/>
        </w:r>
        <w:r w:rsidR="00232C67">
          <w:rPr>
            <w:noProof/>
            <w:webHidden/>
          </w:rPr>
          <w:instrText xml:space="preserve"> PAGEREF _Toc27580313 \h </w:instrText>
        </w:r>
        <w:r w:rsidR="00232C67">
          <w:rPr>
            <w:noProof/>
            <w:webHidden/>
          </w:rPr>
        </w:r>
        <w:r w:rsidR="00232C67">
          <w:rPr>
            <w:noProof/>
            <w:webHidden/>
          </w:rPr>
          <w:fldChar w:fldCharType="separate"/>
        </w:r>
        <w:r w:rsidR="00232C67">
          <w:rPr>
            <w:noProof/>
            <w:webHidden/>
          </w:rPr>
          <w:t>7</w:t>
        </w:r>
        <w:r w:rsidR="00232C67">
          <w:rPr>
            <w:noProof/>
            <w:webHidden/>
          </w:rPr>
          <w:fldChar w:fldCharType="end"/>
        </w:r>
      </w:hyperlink>
    </w:p>
    <w:p w14:paraId="3705947E" w14:textId="79232FAB" w:rsidR="00232C67" w:rsidRDefault="00670DD3">
      <w:pPr>
        <w:pStyle w:val="Sisluet1"/>
        <w:tabs>
          <w:tab w:val="left" w:pos="400"/>
          <w:tab w:val="right" w:leader="dot" w:pos="9628"/>
        </w:tabs>
        <w:rPr>
          <w:rFonts w:asciiTheme="minorHAnsi" w:eastAsiaTheme="minorEastAsia" w:hAnsiTheme="minorHAnsi" w:cstheme="minorBidi"/>
          <w:noProof/>
        </w:rPr>
      </w:pPr>
      <w:hyperlink w:anchor="_Toc27580314" w:history="1">
        <w:r w:rsidR="00232C67" w:rsidRPr="00093D16">
          <w:rPr>
            <w:rStyle w:val="Hyperlinkki"/>
            <w:rFonts w:asciiTheme="majorHAnsi" w:hAnsiTheme="majorHAnsi" w:cstheme="majorHAnsi"/>
            <w:noProof/>
          </w:rPr>
          <w:t>9.</w:t>
        </w:r>
        <w:r w:rsidR="00232C67">
          <w:rPr>
            <w:rFonts w:asciiTheme="minorHAnsi" w:eastAsiaTheme="minorEastAsia" w:hAnsiTheme="minorHAnsi" w:cstheme="minorBidi"/>
            <w:noProof/>
          </w:rPr>
          <w:tab/>
        </w:r>
        <w:r w:rsidR="00232C67" w:rsidRPr="00093D16">
          <w:rPr>
            <w:rStyle w:val="Hyperlinkki"/>
            <w:rFonts w:asciiTheme="majorHAnsi" w:hAnsiTheme="majorHAnsi" w:cstheme="majorHAnsi"/>
            <w:noProof/>
            <w:lang w:val="sv"/>
          </w:rPr>
          <w:t>Överföring av gasanslutningsavtal</w:t>
        </w:r>
        <w:r w:rsidR="00232C67">
          <w:rPr>
            <w:noProof/>
            <w:webHidden/>
          </w:rPr>
          <w:tab/>
        </w:r>
        <w:r w:rsidR="00232C67">
          <w:rPr>
            <w:noProof/>
            <w:webHidden/>
          </w:rPr>
          <w:fldChar w:fldCharType="begin"/>
        </w:r>
        <w:r w:rsidR="00232C67">
          <w:rPr>
            <w:noProof/>
            <w:webHidden/>
          </w:rPr>
          <w:instrText xml:space="preserve"> PAGEREF _Toc27580314 \h </w:instrText>
        </w:r>
        <w:r w:rsidR="00232C67">
          <w:rPr>
            <w:noProof/>
            <w:webHidden/>
          </w:rPr>
        </w:r>
        <w:r w:rsidR="00232C67">
          <w:rPr>
            <w:noProof/>
            <w:webHidden/>
          </w:rPr>
          <w:fldChar w:fldCharType="separate"/>
        </w:r>
        <w:r w:rsidR="00232C67">
          <w:rPr>
            <w:noProof/>
            <w:webHidden/>
          </w:rPr>
          <w:t>7</w:t>
        </w:r>
        <w:r w:rsidR="00232C67">
          <w:rPr>
            <w:noProof/>
            <w:webHidden/>
          </w:rPr>
          <w:fldChar w:fldCharType="end"/>
        </w:r>
      </w:hyperlink>
    </w:p>
    <w:p w14:paraId="6C1E7EDC" w14:textId="2CAEE091" w:rsidR="00232C67" w:rsidRDefault="00670DD3">
      <w:pPr>
        <w:pStyle w:val="Sisluet1"/>
        <w:tabs>
          <w:tab w:val="left" w:pos="660"/>
          <w:tab w:val="right" w:leader="dot" w:pos="9628"/>
        </w:tabs>
        <w:rPr>
          <w:rFonts w:asciiTheme="minorHAnsi" w:eastAsiaTheme="minorEastAsia" w:hAnsiTheme="minorHAnsi" w:cstheme="minorBidi"/>
          <w:noProof/>
        </w:rPr>
      </w:pPr>
      <w:hyperlink w:anchor="_Toc27580315" w:history="1">
        <w:r w:rsidR="00232C67" w:rsidRPr="00093D16">
          <w:rPr>
            <w:rStyle w:val="Hyperlinkki"/>
            <w:rFonts w:asciiTheme="majorHAnsi" w:hAnsiTheme="majorHAnsi" w:cstheme="majorHAnsi"/>
            <w:noProof/>
          </w:rPr>
          <w:t>10.</w:t>
        </w:r>
        <w:r w:rsidR="00232C67">
          <w:rPr>
            <w:rFonts w:asciiTheme="minorHAnsi" w:eastAsiaTheme="minorEastAsia" w:hAnsiTheme="minorHAnsi" w:cstheme="minorBidi"/>
            <w:noProof/>
          </w:rPr>
          <w:tab/>
        </w:r>
        <w:r w:rsidR="00232C67" w:rsidRPr="00093D16">
          <w:rPr>
            <w:rStyle w:val="Hyperlinkki"/>
            <w:rFonts w:asciiTheme="majorHAnsi" w:hAnsiTheme="majorHAnsi" w:cstheme="majorHAnsi"/>
            <w:noProof/>
            <w:lang w:val="sv"/>
          </w:rPr>
          <w:t>Ändring av avtalsvillkoren</w:t>
        </w:r>
        <w:r w:rsidR="00232C67">
          <w:rPr>
            <w:noProof/>
            <w:webHidden/>
          </w:rPr>
          <w:tab/>
        </w:r>
        <w:r w:rsidR="00232C67">
          <w:rPr>
            <w:noProof/>
            <w:webHidden/>
          </w:rPr>
          <w:fldChar w:fldCharType="begin"/>
        </w:r>
        <w:r w:rsidR="00232C67">
          <w:rPr>
            <w:noProof/>
            <w:webHidden/>
          </w:rPr>
          <w:instrText xml:space="preserve"> PAGEREF _Toc27580315 \h </w:instrText>
        </w:r>
        <w:r w:rsidR="00232C67">
          <w:rPr>
            <w:noProof/>
            <w:webHidden/>
          </w:rPr>
        </w:r>
        <w:r w:rsidR="00232C67">
          <w:rPr>
            <w:noProof/>
            <w:webHidden/>
          </w:rPr>
          <w:fldChar w:fldCharType="separate"/>
        </w:r>
        <w:r w:rsidR="00232C67">
          <w:rPr>
            <w:noProof/>
            <w:webHidden/>
          </w:rPr>
          <w:t>7</w:t>
        </w:r>
        <w:r w:rsidR="00232C67">
          <w:rPr>
            <w:noProof/>
            <w:webHidden/>
          </w:rPr>
          <w:fldChar w:fldCharType="end"/>
        </w:r>
      </w:hyperlink>
    </w:p>
    <w:p w14:paraId="68F5BD00" w14:textId="4F21D99B" w:rsidR="00232C67" w:rsidRDefault="00670DD3">
      <w:pPr>
        <w:pStyle w:val="Sisluet1"/>
        <w:tabs>
          <w:tab w:val="left" w:pos="660"/>
          <w:tab w:val="right" w:leader="dot" w:pos="9628"/>
        </w:tabs>
        <w:rPr>
          <w:rFonts w:asciiTheme="minorHAnsi" w:eastAsiaTheme="minorEastAsia" w:hAnsiTheme="minorHAnsi" w:cstheme="minorBidi"/>
          <w:noProof/>
        </w:rPr>
      </w:pPr>
      <w:hyperlink w:anchor="_Toc27580316" w:history="1">
        <w:r w:rsidR="00232C67" w:rsidRPr="00093D16">
          <w:rPr>
            <w:rStyle w:val="Hyperlinkki"/>
            <w:rFonts w:asciiTheme="majorHAnsi" w:hAnsiTheme="majorHAnsi" w:cstheme="majorHAnsi"/>
            <w:noProof/>
            <w:lang w:val="sv-FI"/>
          </w:rPr>
          <w:t>11.</w:t>
        </w:r>
        <w:r w:rsidR="00232C67">
          <w:rPr>
            <w:rFonts w:asciiTheme="minorHAnsi" w:eastAsiaTheme="minorEastAsia" w:hAnsiTheme="minorHAnsi" w:cstheme="minorBidi"/>
            <w:noProof/>
          </w:rPr>
          <w:tab/>
        </w:r>
        <w:r w:rsidR="00232C67" w:rsidRPr="00093D16">
          <w:rPr>
            <w:rStyle w:val="Hyperlinkki"/>
            <w:rFonts w:asciiTheme="majorHAnsi" w:hAnsiTheme="majorHAnsi" w:cstheme="majorHAnsi"/>
            <w:noProof/>
            <w:lang w:val="sv"/>
          </w:rPr>
          <w:t>Upphörande av gasanslutningsavtal och följderna av upphörandet</w:t>
        </w:r>
        <w:r w:rsidR="00232C67">
          <w:rPr>
            <w:noProof/>
            <w:webHidden/>
          </w:rPr>
          <w:tab/>
        </w:r>
        <w:r w:rsidR="00232C67">
          <w:rPr>
            <w:noProof/>
            <w:webHidden/>
          </w:rPr>
          <w:fldChar w:fldCharType="begin"/>
        </w:r>
        <w:r w:rsidR="00232C67">
          <w:rPr>
            <w:noProof/>
            <w:webHidden/>
          </w:rPr>
          <w:instrText xml:space="preserve"> PAGEREF _Toc27580316 \h </w:instrText>
        </w:r>
        <w:r w:rsidR="00232C67">
          <w:rPr>
            <w:noProof/>
            <w:webHidden/>
          </w:rPr>
        </w:r>
        <w:r w:rsidR="00232C67">
          <w:rPr>
            <w:noProof/>
            <w:webHidden/>
          </w:rPr>
          <w:fldChar w:fldCharType="separate"/>
        </w:r>
        <w:r w:rsidR="00232C67">
          <w:rPr>
            <w:noProof/>
            <w:webHidden/>
          </w:rPr>
          <w:t>8</w:t>
        </w:r>
        <w:r w:rsidR="00232C67">
          <w:rPr>
            <w:noProof/>
            <w:webHidden/>
          </w:rPr>
          <w:fldChar w:fldCharType="end"/>
        </w:r>
      </w:hyperlink>
    </w:p>
    <w:p w14:paraId="3660853D" w14:textId="091E1BF9" w:rsidR="00232C67" w:rsidRDefault="00670DD3">
      <w:pPr>
        <w:pStyle w:val="Sisluet1"/>
        <w:tabs>
          <w:tab w:val="left" w:pos="660"/>
          <w:tab w:val="right" w:leader="dot" w:pos="9628"/>
        </w:tabs>
        <w:rPr>
          <w:rFonts w:asciiTheme="minorHAnsi" w:eastAsiaTheme="minorEastAsia" w:hAnsiTheme="minorHAnsi" w:cstheme="minorBidi"/>
          <w:noProof/>
        </w:rPr>
      </w:pPr>
      <w:hyperlink w:anchor="_Toc27580317" w:history="1">
        <w:r w:rsidR="00232C67" w:rsidRPr="00093D16">
          <w:rPr>
            <w:rStyle w:val="Hyperlinkki"/>
            <w:rFonts w:asciiTheme="majorHAnsi" w:hAnsiTheme="majorHAnsi" w:cstheme="majorHAnsi"/>
            <w:noProof/>
          </w:rPr>
          <w:t>12.</w:t>
        </w:r>
        <w:r w:rsidR="00232C67">
          <w:rPr>
            <w:rFonts w:asciiTheme="minorHAnsi" w:eastAsiaTheme="minorEastAsia" w:hAnsiTheme="minorHAnsi" w:cstheme="minorBidi"/>
            <w:noProof/>
          </w:rPr>
          <w:tab/>
        </w:r>
        <w:r w:rsidR="00232C67" w:rsidRPr="00093D16">
          <w:rPr>
            <w:rStyle w:val="Hyperlinkki"/>
            <w:rFonts w:asciiTheme="majorHAnsi" w:hAnsiTheme="majorHAnsi" w:cstheme="majorHAnsi"/>
            <w:noProof/>
            <w:lang w:val="sv"/>
          </w:rPr>
          <w:t>Avgörande av tvister</w:t>
        </w:r>
        <w:r w:rsidR="00232C67">
          <w:rPr>
            <w:noProof/>
            <w:webHidden/>
          </w:rPr>
          <w:tab/>
        </w:r>
        <w:r w:rsidR="00232C67">
          <w:rPr>
            <w:noProof/>
            <w:webHidden/>
          </w:rPr>
          <w:fldChar w:fldCharType="begin"/>
        </w:r>
        <w:r w:rsidR="00232C67">
          <w:rPr>
            <w:noProof/>
            <w:webHidden/>
          </w:rPr>
          <w:instrText xml:space="preserve"> PAGEREF _Toc27580317 \h </w:instrText>
        </w:r>
        <w:r w:rsidR="00232C67">
          <w:rPr>
            <w:noProof/>
            <w:webHidden/>
          </w:rPr>
        </w:r>
        <w:r w:rsidR="00232C67">
          <w:rPr>
            <w:noProof/>
            <w:webHidden/>
          </w:rPr>
          <w:fldChar w:fldCharType="separate"/>
        </w:r>
        <w:r w:rsidR="00232C67">
          <w:rPr>
            <w:noProof/>
            <w:webHidden/>
          </w:rPr>
          <w:t>9</w:t>
        </w:r>
        <w:r w:rsidR="00232C67">
          <w:rPr>
            <w:noProof/>
            <w:webHidden/>
          </w:rPr>
          <w:fldChar w:fldCharType="end"/>
        </w:r>
      </w:hyperlink>
    </w:p>
    <w:p w14:paraId="429AF0A5" w14:textId="2FE43FA4" w:rsidR="0033395A" w:rsidRDefault="0033395A" w:rsidP="00EF7CE9">
      <w:pPr>
        <w:pStyle w:val="Sisluet1"/>
        <w:tabs>
          <w:tab w:val="left" w:pos="1276"/>
          <w:tab w:val="right" w:leader="dot" w:pos="9607"/>
        </w:tabs>
        <w:spacing w:after="240" w:line="240" w:lineRule="auto"/>
        <w:ind w:left="425"/>
      </w:pPr>
      <w:r>
        <w:rPr>
          <w:rStyle w:val="Hyperlinkki"/>
          <w:rFonts w:ascii="Verdana" w:hAnsi="Verdana"/>
          <w:noProof/>
          <w:sz w:val="20"/>
          <w:szCs w:val="20"/>
        </w:rPr>
        <w:fldChar w:fldCharType="end"/>
      </w:r>
    </w:p>
    <w:p w14:paraId="4D0EC26E" w14:textId="77777777" w:rsidR="0033395A" w:rsidRDefault="0033395A" w:rsidP="0033395A">
      <w:pPr>
        <w:numPr>
          <w:ilvl w:val="1"/>
          <w:numId w:val="0"/>
        </w:num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ind w:left="357" w:hanging="357"/>
        <w:rPr>
          <w:rFonts w:ascii="Times New Roman" w:hAnsi="Times New Roman"/>
          <w:b/>
        </w:rPr>
      </w:pPr>
      <w:r>
        <w:rPr>
          <w:rFonts w:ascii="Times New Roman" w:hAnsi="Times New Roman"/>
          <w:b/>
          <w:bCs/>
          <w:lang w:val="sv"/>
        </w:rPr>
        <w:br w:type="page"/>
      </w:r>
    </w:p>
    <w:p w14:paraId="451BC588" w14:textId="77777777" w:rsidR="00C663D7" w:rsidRDefault="00C663D7" w:rsidP="007C51FD">
      <w:pPr>
        <w:pStyle w:val="Leipteksti23"/>
        <w:numPr>
          <w:ilvl w:val="0"/>
          <w:numId w:val="0"/>
        </w:numPr>
        <w:tabs>
          <w:tab w:val="clear" w:pos="0"/>
        </w:tabs>
        <w:rPr>
          <w:rFonts w:asciiTheme="majorHAnsi" w:hAnsiTheme="majorHAnsi" w:cstheme="majorHAnsi"/>
          <w:b/>
          <w:bCs/>
          <w:sz w:val="28"/>
          <w:szCs w:val="28"/>
        </w:rPr>
      </w:pPr>
      <w:bookmarkStart w:id="1" w:name="_Toc373300074"/>
      <w:bookmarkStart w:id="2" w:name="_Toc23754162"/>
    </w:p>
    <w:p w14:paraId="763B7ADF" w14:textId="7FBE5DA7" w:rsidR="0033395A" w:rsidRPr="007C51FD" w:rsidRDefault="007C51FD" w:rsidP="007C51FD">
      <w:pPr>
        <w:pStyle w:val="Leipteksti23"/>
        <w:numPr>
          <w:ilvl w:val="0"/>
          <w:numId w:val="0"/>
        </w:numPr>
        <w:tabs>
          <w:tab w:val="clear" w:pos="0"/>
        </w:tabs>
        <w:rPr>
          <w:rFonts w:asciiTheme="majorHAnsi" w:hAnsiTheme="majorHAnsi" w:cstheme="majorHAnsi"/>
          <w:b/>
          <w:bCs/>
          <w:sz w:val="28"/>
          <w:szCs w:val="28"/>
        </w:rPr>
      </w:pPr>
      <w:r>
        <w:rPr>
          <w:rFonts w:asciiTheme="majorHAnsi" w:hAnsiTheme="majorHAnsi" w:cstheme="majorHAnsi"/>
          <w:b/>
          <w:bCs/>
          <w:sz w:val="28"/>
          <w:szCs w:val="28"/>
          <w:lang w:val="sv"/>
        </w:rPr>
        <w:t>Anslutningsvillkor för gasdistributionsnätet</w:t>
      </w:r>
      <w:bookmarkEnd w:id="1"/>
      <w:bookmarkEnd w:id="2"/>
    </w:p>
    <w:p w14:paraId="1FD8787D" w14:textId="77777777" w:rsidR="0033395A" w:rsidRPr="00EF7CE9" w:rsidRDefault="0033395A" w:rsidP="0033395A">
      <w:pPr>
        <w:pStyle w:val="Leipteksti23"/>
        <w:numPr>
          <w:ilvl w:val="0"/>
          <w:numId w:val="0"/>
        </w:numPr>
        <w:tabs>
          <w:tab w:val="clear" w:pos="0"/>
        </w:tabs>
        <w:ind w:left="1134"/>
        <w:rPr>
          <w:rFonts w:asciiTheme="majorHAnsi" w:hAnsiTheme="majorHAnsi" w:cstheme="majorHAnsi"/>
          <w:sz w:val="28"/>
          <w:szCs w:val="28"/>
        </w:rPr>
      </w:pPr>
    </w:p>
    <w:p w14:paraId="4E932096" w14:textId="77777777" w:rsidR="0033395A" w:rsidRPr="00EF7CE9" w:rsidRDefault="0033395A"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rPr>
      </w:pPr>
      <w:bookmarkStart w:id="3" w:name="_Toc27580306"/>
      <w:r>
        <w:rPr>
          <w:rFonts w:asciiTheme="majorHAnsi" w:hAnsiTheme="majorHAnsi" w:cstheme="majorHAnsi"/>
          <w:szCs w:val="28"/>
          <w:lang w:val="sv"/>
        </w:rPr>
        <w:t>Tillämpningsområde</w:t>
      </w:r>
      <w:bookmarkEnd w:id="3"/>
      <w:r>
        <w:rPr>
          <w:rFonts w:asciiTheme="majorHAnsi" w:hAnsiTheme="majorHAnsi" w:cstheme="majorHAnsi"/>
          <w:szCs w:val="28"/>
          <w:lang w:val="sv"/>
        </w:rPr>
        <w:t xml:space="preserve"> </w:t>
      </w:r>
    </w:p>
    <w:p w14:paraId="7D55F7C6" w14:textId="77777777"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Dessa anslutningsvillkor för gas tillämpas vid anslutning till gasdistributionsnät med ett nominellt drifttryck på högst 8 bar. </w:t>
      </w:r>
    </w:p>
    <w:p w14:paraId="78C62B94" w14:textId="77777777"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Dessa villkor omfattar inte direkt inmatning av gas från förnybara energikällor till distributionsnätet från gasproduktionsanläggningar.</w:t>
      </w:r>
    </w:p>
    <w:p w14:paraId="6582D296" w14:textId="0677F15A"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Gasdistributionsnätsinnehavaren och kunden kan avtala på annat sätt om dessa villkor, om inte annat föreskrivs nedan. När kunden är en konsument kan det inte avtalas om avvikelser från dessa villkor till kundens nackdel.</w:t>
      </w:r>
    </w:p>
    <w:p w14:paraId="4272BCDF" w14:textId="77777777" w:rsidR="00301B5F" w:rsidRPr="00E24F9C" w:rsidRDefault="00301B5F" w:rsidP="00301B5F">
      <w:pPr>
        <w:pStyle w:val="Leipteksti24"/>
        <w:tabs>
          <w:tab w:val="clear" w:pos="-1620"/>
        </w:tabs>
        <w:spacing w:after="0"/>
        <w:ind w:left="1134"/>
        <w:outlineLvl w:val="1"/>
        <w:rPr>
          <w:rFonts w:ascii="Calibri" w:hAnsi="Calibri" w:cs="Calibri"/>
          <w:sz w:val="22"/>
          <w:szCs w:val="22"/>
          <w:lang w:val="sv-FI"/>
        </w:rPr>
      </w:pPr>
    </w:p>
    <w:p w14:paraId="66D5AE37" w14:textId="77777777" w:rsidR="0033395A" w:rsidRPr="00EF7CE9" w:rsidRDefault="0033395A"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rPr>
      </w:pPr>
      <w:bookmarkStart w:id="4" w:name="_Toc27580307"/>
      <w:r>
        <w:rPr>
          <w:rFonts w:asciiTheme="majorHAnsi" w:hAnsiTheme="majorHAnsi" w:cstheme="majorHAnsi"/>
          <w:szCs w:val="28"/>
          <w:lang w:val="sv"/>
        </w:rPr>
        <w:t>Definitioner</w:t>
      </w:r>
      <w:bookmarkEnd w:id="4"/>
    </w:p>
    <w:p w14:paraId="2E895923" w14:textId="77777777" w:rsidR="00D55376" w:rsidRPr="00E24F9C" w:rsidRDefault="00D55376"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gas</w:t>
      </w:r>
      <w:r>
        <w:rPr>
          <w:rFonts w:ascii="Calibri" w:hAnsi="Calibri" w:cs="Calibri"/>
          <w:sz w:val="22"/>
          <w:szCs w:val="22"/>
          <w:lang w:val="sv"/>
        </w:rPr>
        <w:t xml:space="preserve"> avses naturgas och gas från förnybara energikällor samt en blandning av dessa, som överförs i ett gasdistributionsnät som är i gasdistributionsnätsinnehavarens besittning. Gasen uppfyller till sin kvalitet den systemansvarigas villkor och allmänt tillämpade standarder i branschen.</w:t>
      </w:r>
    </w:p>
    <w:p w14:paraId="734D263E" w14:textId="32DFB70B" w:rsidR="00D55376" w:rsidRPr="00E24F9C" w:rsidRDefault="00D55376"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distributionsnät för gas (distributionsnät)</w:t>
      </w:r>
      <w:r>
        <w:rPr>
          <w:rFonts w:ascii="Calibri" w:hAnsi="Calibri" w:cs="Calibri"/>
          <w:sz w:val="22"/>
          <w:szCs w:val="22"/>
          <w:lang w:val="sv"/>
        </w:rPr>
        <w:t xml:space="preserve"> avses ett lokalt eller regionalt rörsystem för gas via vilket gas transporteras under reducerat tryck, inklusive den del av högtrycksrörledningarna som huvudsakligen används för lokal distribution av gas. </w:t>
      </w:r>
    </w:p>
    <w:p w14:paraId="71C11F51" w14:textId="37A89C79" w:rsidR="00D55376" w:rsidRPr="00E24F9C" w:rsidRDefault="00D55376"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i/>
          <w:iCs/>
          <w:sz w:val="22"/>
          <w:szCs w:val="22"/>
          <w:lang w:val="sv"/>
        </w:rPr>
        <w:t>Kunden</w:t>
      </w:r>
      <w:r>
        <w:rPr>
          <w:rFonts w:ascii="Calibri" w:hAnsi="Calibri" w:cs="Calibri"/>
          <w:sz w:val="22"/>
          <w:szCs w:val="22"/>
          <w:lang w:val="sv"/>
        </w:rPr>
        <w:t xml:space="preserve"> är ägare eller innehavare av ett gasdriftsställe och ingår ett gasanslutningsavtal med distributionsnätsinnehavaren.</w:t>
      </w:r>
    </w:p>
    <w:p w14:paraId="18DB5DF0" w14:textId="028E5AFF" w:rsidR="00D55376" w:rsidRPr="00E24F9C" w:rsidRDefault="00D55376"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anslutningseffekt</w:t>
      </w:r>
      <w:r>
        <w:rPr>
          <w:rFonts w:ascii="Calibri" w:hAnsi="Calibri" w:cs="Calibri"/>
          <w:sz w:val="22"/>
          <w:szCs w:val="22"/>
          <w:lang w:val="sv"/>
        </w:rPr>
        <w:t xml:space="preserve"> avses den gaseffekt som reserverats för gasanslutningen. </w:t>
      </w:r>
    </w:p>
    <w:p w14:paraId="2A45AB2D" w14:textId="4630DC3A" w:rsidR="00A470E4" w:rsidRPr="00E24F9C" w:rsidRDefault="00A470E4"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i/>
          <w:iCs/>
          <w:sz w:val="22"/>
          <w:szCs w:val="22"/>
          <w:lang w:val="sv"/>
        </w:rPr>
        <w:t>Gasanvändare</w:t>
      </w:r>
      <w:r>
        <w:rPr>
          <w:rFonts w:ascii="Calibri" w:hAnsi="Calibri" w:cs="Calibri"/>
          <w:sz w:val="22"/>
          <w:szCs w:val="22"/>
          <w:lang w:val="sv"/>
        </w:rPr>
        <w:t xml:space="preserve"> (</w:t>
      </w:r>
      <w:r>
        <w:rPr>
          <w:rFonts w:ascii="Calibri" w:hAnsi="Calibri" w:cs="Calibri"/>
          <w:i/>
          <w:iCs/>
          <w:sz w:val="22"/>
          <w:szCs w:val="22"/>
          <w:lang w:val="sv"/>
        </w:rPr>
        <w:t>användare</w:t>
      </w:r>
      <w:r>
        <w:rPr>
          <w:rFonts w:ascii="Calibri" w:hAnsi="Calibri" w:cs="Calibri"/>
          <w:sz w:val="22"/>
          <w:szCs w:val="22"/>
          <w:lang w:val="sv"/>
        </w:rPr>
        <w:t>) är en person eller en sammanslutning som köper gas och den nättjänst som erfordras för gasdistributionen huvudsakligen för sitt eget bruk. Användaren kan också vara en kund som anskaffar gas åt andra genom den anslutningspunkt som avses i hans anslutningsavtal.</w:t>
      </w:r>
    </w:p>
    <w:p w14:paraId="1416E2D7" w14:textId="77777777" w:rsidR="00D55376" w:rsidRPr="00E24F9C" w:rsidRDefault="00D55376"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konsument</w:t>
      </w:r>
      <w:r>
        <w:rPr>
          <w:rFonts w:ascii="Calibri" w:hAnsi="Calibri" w:cs="Calibri"/>
          <w:sz w:val="22"/>
          <w:szCs w:val="22"/>
          <w:lang w:val="sv"/>
        </w:rPr>
        <w:t xml:space="preserve"> avses en fysisk person som huvudsakligen köper gas för andra ändamål än för att utöva sin näring. </w:t>
      </w:r>
    </w:p>
    <w:p w14:paraId="4D09171D" w14:textId="77777777" w:rsidR="00D55376" w:rsidRPr="00E24F9C" w:rsidRDefault="00D55376"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 xml:space="preserve">detaljförsäljare (säljare) </w:t>
      </w:r>
      <w:r>
        <w:rPr>
          <w:rFonts w:ascii="Calibri" w:hAnsi="Calibri" w:cs="Calibri"/>
          <w:sz w:val="22"/>
          <w:szCs w:val="22"/>
          <w:lang w:val="sv"/>
        </w:rPr>
        <w:t>avses ett företag, en fysisk eller juridisk person, en sammanslutning eller anläggning som säljer gas och helhetsleverans av gas och som har ingått ett ramavtal för detaljförsäljare med den systemansvariga överföringsnätsinnehavaren.</w:t>
      </w:r>
    </w:p>
    <w:p w14:paraId="70C89889" w14:textId="77777777" w:rsidR="00D55376" w:rsidRPr="00E24F9C" w:rsidRDefault="00D55376"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Med</w:t>
      </w:r>
      <w:r>
        <w:rPr>
          <w:rFonts w:ascii="Calibri" w:hAnsi="Calibri" w:cs="Calibri"/>
          <w:i/>
          <w:iCs/>
          <w:sz w:val="22"/>
          <w:szCs w:val="22"/>
          <w:lang w:val="sv"/>
        </w:rPr>
        <w:t xml:space="preserve"> distributionsnätsinnehavare (nätinnehavare)</w:t>
      </w:r>
      <w:r>
        <w:rPr>
          <w:rFonts w:ascii="Calibri" w:hAnsi="Calibri" w:cs="Calibri"/>
          <w:sz w:val="22"/>
          <w:szCs w:val="22"/>
          <w:lang w:val="sv"/>
        </w:rPr>
        <w:t xml:space="preserve"> avses en näringsidkare som bedriver distributionsverksamhet och som ansvarar för drift, underhåll och utveckling av distributionsnätet inom sitt verksamhetsområde och dess sammanlänkningar till andra nät och för säkerställande av att nätet på lång sikt kan uppfylla rimliga krav på gasdistribution.</w:t>
      </w:r>
    </w:p>
    <w:p w14:paraId="5A90BA47" w14:textId="17F7A799" w:rsidR="00D55376" w:rsidRPr="00E24F9C" w:rsidRDefault="00D55376"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lastRenderedPageBreak/>
        <w:t xml:space="preserve">Med </w:t>
      </w:r>
      <w:r>
        <w:rPr>
          <w:rFonts w:ascii="Calibri" w:hAnsi="Calibri" w:cs="Calibri"/>
          <w:i/>
          <w:iCs/>
          <w:sz w:val="22"/>
          <w:szCs w:val="22"/>
          <w:lang w:val="sv"/>
        </w:rPr>
        <w:t>anslutning</w:t>
      </w:r>
      <w:r>
        <w:rPr>
          <w:rFonts w:ascii="Calibri" w:hAnsi="Calibri" w:cs="Calibri"/>
          <w:sz w:val="22"/>
          <w:szCs w:val="22"/>
          <w:lang w:val="sv"/>
        </w:rPr>
        <w:t xml:space="preserve"> avses kundens rätt att ansluta sig till gasdistributionsnätet i den anslutningspunkt som definieras i anslutningsavtalet samt gränssnittet mellan parternas gasanläggningar, där gasen överlåts från distributionsnätet till kunden.</w:t>
      </w:r>
    </w:p>
    <w:p w14:paraId="4DCE0F30" w14:textId="77777777" w:rsidR="00440D43" w:rsidRPr="00E24F9C" w:rsidRDefault="00440D43"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i/>
          <w:iCs/>
          <w:sz w:val="22"/>
          <w:szCs w:val="22"/>
          <w:lang w:val="sv"/>
        </w:rPr>
        <w:t>Anslutningsavgift</w:t>
      </w:r>
      <w:r>
        <w:rPr>
          <w:rFonts w:ascii="Calibri" w:hAnsi="Calibri" w:cs="Calibri"/>
          <w:sz w:val="22"/>
          <w:szCs w:val="22"/>
          <w:lang w:val="sv"/>
        </w:rPr>
        <w:t xml:space="preserve"> är den avgift som kunden ska betala för att få de rättigheter som grundar sig på anslutningsavtalet. </w:t>
      </w:r>
    </w:p>
    <w:p w14:paraId="06310057" w14:textId="41543170" w:rsidR="00440D43" w:rsidRPr="00E24F9C" w:rsidRDefault="00440D43"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tilläggsanslutningsavgift</w:t>
      </w:r>
      <w:r>
        <w:rPr>
          <w:rFonts w:ascii="Calibri" w:hAnsi="Calibri" w:cs="Calibri"/>
          <w:sz w:val="22"/>
          <w:szCs w:val="22"/>
          <w:lang w:val="sv"/>
        </w:rPr>
        <w:t xml:space="preserve"> avses i dessa villkor en avgift som tas ut för en förstoring av anslutningen.</w:t>
      </w:r>
    </w:p>
    <w:p w14:paraId="7D470F07" w14:textId="011C3BB8" w:rsidR="00D55376" w:rsidRPr="00E24F9C" w:rsidRDefault="00D55376"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i/>
          <w:iCs/>
          <w:sz w:val="22"/>
          <w:szCs w:val="22"/>
          <w:lang w:val="sv"/>
        </w:rPr>
        <w:t>Gasanslutningsavtal (anslutningsavtal)</w:t>
      </w:r>
      <w:r>
        <w:rPr>
          <w:rFonts w:ascii="Calibri" w:hAnsi="Calibri" w:cs="Calibri"/>
          <w:sz w:val="22"/>
          <w:szCs w:val="22"/>
          <w:lang w:val="sv"/>
        </w:rPr>
        <w:t xml:space="preserve"> är ett avtal mellan distributionsnätsinnehavaren och kunden om anslutning av gasdriftsstället till nätet och upprätthållande av möjligheterna att använda gas.</w:t>
      </w:r>
    </w:p>
    <w:p w14:paraId="2A188C8F" w14:textId="4327D6FA" w:rsidR="00D55376" w:rsidRPr="00E24F9C" w:rsidRDefault="00D55376"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i/>
          <w:iCs/>
          <w:sz w:val="22"/>
          <w:szCs w:val="22"/>
          <w:lang w:val="sv"/>
        </w:rPr>
        <w:t xml:space="preserve">Ett tidsbundet anslutningsavtal </w:t>
      </w:r>
      <w:r>
        <w:rPr>
          <w:rFonts w:ascii="Calibri" w:hAnsi="Calibri" w:cs="Calibri"/>
          <w:sz w:val="22"/>
          <w:szCs w:val="22"/>
          <w:lang w:val="sv"/>
        </w:rPr>
        <w:t xml:space="preserve">är ett anslutningsavtal som ingås för viss tid och för ett tillfälligt gasbehov. Det tillfälliga gasbehovet kan gälla till exempel ett bygge eller något annat kortvarigt evenemang av engångsnatur. </w:t>
      </w:r>
    </w:p>
    <w:p w14:paraId="0AD51E19" w14:textId="77777777" w:rsidR="00D55376" w:rsidRPr="00E24F9C" w:rsidRDefault="00D55376"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Med </w:t>
      </w:r>
      <w:r>
        <w:rPr>
          <w:rFonts w:ascii="Calibri" w:hAnsi="Calibri" w:cs="Calibri"/>
          <w:i/>
          <w:iCs/>
          <w:sz w:val="22"/>
          <w:szCs w:val="22"/>
          <w:lang w:val="sv"/>
        </w:rPr>
        <w:t>avtalsparter</w:t>
      </w:r>
      <w:r>
        <w:rPr>
          <w:rFonts w:ascii="Calibri" w:hAnsi="Calibri" w:cs="Calibri"/>
          <w:sz w:val="22"/>
          <w:szCs w:val="22"/>
          <w:lang w:val="sv"/>
        </w:rPr>
        <w:t xml:space="preserve"> avses i dessa villkor nätinnehavaren och kunden.</w:t>
      </w:r>
    </w:p>
    <w:p w14:paraId="2CF057E3" w14:textId="23877286" w:rsidR="00096A33" w:rsidRPr="00E24F9C" w:rsidRDefault="00BD02BB" w:rsidP="00DF4FE8">
      <w:pPr>
        <w:pStyle w:val="Leipteksti24"/>
        <w:numPr>
          <w:ilvl w:val="1"/>
          <w:numId w:val="1"/>
        </w:numPr>
        <w:tabs>
          <w:tab w:val="clear" w:pos="-1620"/>
        </w:tabs>
        <w:spacing w:before="120"/>
        <w:ind w:left="1304" w:hanging="737"/>
        <w:rPr>
          <w:rFonts w:ascii="Calibri" w:hAnsi="Calibri" w:cs="Calibri"/>
          <w:sz w:val="22"/>
          <w:szCs w:val="22"/>
          <w:lang w:val="sv-FI"/>
        </w:rPr>
      </w:pPr>
      <w:bookmarkStart w:id="5" w:name="_Hlk20295345"/>
      <w:r>
        <w:rPr>
          <w:rFonts w:ascii="Calibri" w:hAnsi="Calibri" w:cs="Calibri"/>
          <w:sz w:val="22"/>
          <w:szCs w:val="22"/>
          <w:lang w:val="sv"/>
        </w:rPr>
        <w:t xml:space="preserve">Energimyndigheten ska i naturgasnätstillståndet förordna en överföringsnätsinnehavare till systemansvarig överföringsnätsinnehavare för naturgassystemet </w:t>
      </w:r>
      <w:r>
        <w:rPr>
          <w:rFonts w:ascii="Calibri" w:hAnsi="Calibri" w:cs="Calibri"/>
          <w:i/>
          <w:iCs/>
          <w:sz w:val="22"/>
          <w:szCs w:val="22"/>
          <w:lang w:val="sv"/>
        </w:rPr>
        <w:t>(systemansvarig)</w:t>
      </w:r>
      <w:bookmarkEnd w:id="5"/>
      <w:r>
        <w:rPr>
          <w:rFonts w:ascii="Calibri" w:hAnsi="Calibri" w:cs="Calibri"/>
          <w:sz w:val="22"/>
          <w:szCs w:val="22"/>
          <w:lang w:val="sv"/>
        </w:rPr>
        <w:t>.</w:t>
      </w:r>
    </w:p>
    <w:p w14:paraId="103CDC92" w14:textId="77777777" w:rsidR="0033395A" w:rsidRPr="00E24F9C" w:rsidRDefault="0033395A" w:rsidP="0033395A">
      <w:pPr>
        <w:ind w:left="1134"/>
        <w:rPr>
          <w:rFonts w:ascii="Calibri" w:hAnsi="Calibri" w:cs="Calibri"/>
          <w:sz w:val="22"/>
          <w:szCs w:val="22"/>
          <w:lang w:val="sv-FI"/>
        </w:rPr>
      </w:pPr>
    </w:p>
    <w:p w14:paraId="09E69220" w14:textId="77777777" w:rsidR="0033395A" w:rsidRPr="00E24F9C" w:rsidRDefault="0033395A"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lang w:val="sv-FI"/>
        </w:rPr>
      </w:pPr>
      <w:bookmarkStart w:id="6" w:name="_Toc27580308"/>
      <w:r>
        <w:rPr>
          <w:rFonts w:asciiTheme="majorHAnsi" w:hAnsiTheme="majorHAnsi" w:cstheme="majorHAnsi"/>
          <w:szCs w:val="28"/>
          <w:lang w:val="sv"/>
        </w:rPr>
        <w:t>Ingående av gasanslutningsavtal och övriga nödvändiga avtal</w:t>
      </w:r>
      <w:bookmarkEnd w:id="6"/>
    </w:p>
    <w:p w14:paraId="6D809B3B" w14:textId="77777777"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Anslutningsavtalet ingås mellan avtalsparterna tills vidare.</w:t>
      </w:r>
    </w:p>
    <w:p w14:paraId="79D01CD1" w14:textId="20A1EA52"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Ett tidsbundet anslutningsavtal kan ingås när det föreligger ett tillfälligt engångsbehov av att använda gas. Ett tidsbundet anslutningsavtal ingås för viss tid, högst för två år åt gången.  Om tidsperioden för den tillfälliga gasanvändningen är känd när anslutningsavtalet ingås, kan parterna dock avtala om högst fem års giltighet.</w:t>
      </w:r>
    </w:p>
    <w:p w14:paraId="3FEE7DD4" w14:textId="77777777" w:rsidR="0033395A" w:rsidRPr="00D55376" w:rsidRDefault="0033395A" w:rsidP="00DF4FE8">
      <w:pPr>
        <w:pStyle w:val="Leipteksti24"/>
        <w:numPr>
          <w:ilvl w:val="1"/>
          <w:numId w:val="1"/>
        </w:numPr>
        <w:tabs>
          <w:tab w:val="clear" w:pos="-1620"/>
        </w:tabs>
        <w:spacing w:before="120"/>
        <w:ind w:left="1304" w:hanging="737"/>
        <w:rPr>
          <w:rFonts w:ascii="Calibri" w:hAnsi="Calibri" w:cs="Calibri"/>
          <w:sz w:val="22"/>
          <w:szCs w:val="22"/>
        </w:rPr>
      </w:pPr>
      <w:bookmarkStart w:id="7" w:name="_Ref332627801"/>
      <w:r>
        <w:rPr>
          <w:rFonts w:ascii="Calibri" w:hAnsi="Calibri" w:cs="Calibri"/>
          <w:sz w:val="22"/>
          <w:szCs w:val="22"/>
          <w:lang w:val="sv"/>
        </w:rPr>
        <w:t>Anslutningsavtalet och det tidsbundna anslutningsavtalet samt eventuella ändringar i dessa ska göras skriftligen. Avtalsparterna får var sitt exemplar av avtalet med villkor.</w:t>
      </w:r>
      <w:bookmarkEnd w:id="7"/>
      <w:r>
        <w:rPr>
          <w:rFonts w:ascii="Calibri" w:hAnsi="Calibri" w:cs="Calibri"/>
          <w:sz w:val="22"/>
          <w:szCs w:val="22"/>
          <w:lang w:val="sv"/>
        </w:rPr>
        <w:t xml:space="preserve"> </w:t>
      </w:r>
    </w:p>
    <w:p w14:paraId="3B5E0A41" w14:textId="77777777" w:rsidR="00D55376" w:rsidRPr="00E24F9C" w:rsidRDefault="00D55376"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Kunden ansvarar för parternas gasanordningar som är kopplade till driftsrören efter anslutningen. Distributionsnätsinnehavaren har rätt att granska alla gasanordningar och rörsystem som är kopplade till anslutningen.</w:t>
      </w:r>
    </w:p>
    <w:p w14:paraId="21BC2A18" w14:textId="77777777"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bookmarkStart w:id="8" w:name="_Ref23319427"/>
      <w:r>
        <w:rPr>
          <w:rFonts w:ascii="Calibri" w:hAnsi="Calibri" w:cs="Calibri"/>
          <w:sz w:val="22"/>
          <w:szCs w:val="22"/>
          <w:lang w:val="sv"/>
        </w:rPr>
        <w:t xml:space="preserve">Anslutningsavtalet består av enskilt överenskomna avtalsvillkor och allmänna avtalsvillkor. När avtalet tolkas beaktas handlingarna i följande ordning: </w:t>
      </w:r>
      <w:r>
        <w:rPr>
          <w:rFonts w:ascii="Calibri" w:hAnsi="Calibri" w:cs="Calibri"/>
          <w:sz w:val="22"/>
          <w:szCs w:val="22"/>
          <w:lang w:val="sv"/>
        </w:rPr>
        <w:br/>
        <w:t>1)</w:t>
      </w:r>
      <w:r>
        <w:rPr>
          <w:rFonts w:ascii="Calibri" w:hAnsi="Calibri" w:cs="Calibri"/>
          <w:sz w:val="22"/>
          <w:szCs w:val="22"/>
          <w:lang w:val="sv"/>
        </w:rPr>
        <w:tab/>
        <w:t>Anslutningsavtalet</w:t>
      </w:r>
      <w:r>
        <w:rPr>
          <w:rFonts w:ascii="Calibri" w:hAnsi="Calibri" w:cs="Calibri"/>
          <w:sz w:val="22"/>
          <w:szCs w:val="22"/>
          <w:lang w:val="sv"/>
        </w:rPr>
        <w:br/>
        <w:t>2)</w:t>
      </w:r>
      <w:r>
        <w:rPr>
          <w:rFonts w:ascii="Calibri" w:hAnsi="Calibri" w:cs="Calibri"/>
          <w:sz w:val="22"/>
          <w:szCs w:val="22"/>
          <w:lang w:val="sv"/>
        </w:rPr>
        <w:tab/>
        <w:t>Allmänna anslutningsvillkor för gasdistributionsnätet (dessa villkor).</w:t>
      </w:r>
      <w:bookmarkEnd w:id="8"/>
      <w:r>
        <w:rPr>
          <w:rFonts w:ascii="Calibri" w:hAnsi="Calibri" w:cs="Calibri"/>
          <w:sz w:val="22"/>
          <w:szCs w:val="22"/>
          <w:lang w:val="sv"/>
        </w:rPr>
        <w:t xml:space="preserve"> </w:t>
      </w:r>
    </w:p>
    <w:p w14:paraId="4AA7A353" w14:textId="77777777"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Till anslutningsavtalet ska bifogas en länk till en sparbar version av dessa villkor. De allmänna avtalsvillkoren ska på kundens begäran kostnadsfritt sändas till kunden skriftligen med anslutningsavtalet.</w:t>
      </w:r>
    </w:p>
    <w:p w14:paraId="1C31815E" w14:textId="77777777"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Fakturor som hänför sig till anslutningsavtalet sänds till den faktureringsadress som kunden uppgett. Kunden ska meddela nätinnehavaren om förändringar i sin faktureringsadress och sina övriga uppgifter. </w:t>
      </w:r>
    </w:p>
    <w:p w14:paraId="323CC14D" w14:textId="77777777" w:rsidR="0033395A" w:rsidRPr="002E5BA2" w:rsidRDefault="0033395A" w:rsidP="00DF4FE8">
      <w:pPr>
        <w:pStyle w:val="Leipteksti24"/>
        <w:numPr>
          <w:ilvl w:val="1"/>
          <w:numId w:val="1"/>
        </w:numPr>
        <w:tabs>
          <w:tab w:val="clear" w:pos="-1620"/>
        </w:tabs>
        <w:spacing w:before="120"/>
        <w:ind w:left="1304" w:hanging="737"/>
        <w:rPr>
          <w:rFonts w:ascii="Calibri" w:hAnsi="Calibri" w:cs="Calibri"/>
          <w:sz w:val="22"/>
          <w:szCs w:val="22"/>
        </w:rPr>
      </w:pPr>
      <w:r>
        <w:rPr>
          <w:rFonts w:ascii="Calibri" w:hAnsi="Calibri" w:cs="Calibri"/>
          <w:sz w:val="22"/>
          <w:szCs w:val="22"/>
          <w:lang w:val="sv"/>
        </w:rPr>
        <w:lastRenderedPageBreak/>
        <w:t>Kunden lämnar nätinnehavaren de uppgifter denna behöver om byggnader som ansluts till gasdistributionsnätet och om gasanordningarna i dem. Nätinnehavaren meddelar kunden under vilka förutsättningar anslutning kan utföras.</w:t>
      </w:r>
    </w:p>
    <w:p w14:paraId="5FD06BC1" w14:textId="4B29E2F7"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Nätinnehavaren och kunden avtalar i gasanslutningsavtalet om leveranstidpunkten för anslutningen.</w:t>
      </w:r>
    </w:p>
    <w:p w14:paraId="20F4EE35" w14:textId="77777777" w:rsidR="00301B5F" w:rsidRPr="00E24F9C" w:rsidRDefault="00301B5F" w:rsidP="00301B5F">
      <w:pPr>
        <w:pStyle w:val="Leipteksti24"/>
        <w:tabs>
          <w:tab w:val="clear" w:pos="-1620"/>
        </w:tabs>
        <w:spacing w:after="0"/>
        <w:ind w:left="1134"/>
        <w:outlineLvl w:val="1"/>
        <w:rPr>
          <w:rFonts w:ascii="Calibri" w:hAnsi="Calibri" w:cs="Calibri"/>
          <w:sz w:val="22"/>
          <w:szCs w:val="22"/>
          <w:lang w:val="sv-FI"/>
        </w:rPr>
      </w:pPr>
    </w:p>
    <w:p w14:paraId="59C2C193" w14:textId="2AC71AFF" w:rsidR="0033395A" w:rsidRPr="00EF7CE9" w:rsidRDefault="0033395A"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rPr>
      </w:pPr>
      <w:bookmarkStart w:id="9" w:name="_Toc27580309"/>
      <w:r>
        <w:rPr>
          <w:rFonts w:asciiTheme="majorHAnsi" w:hAnsiTheme="majorHAnsi" w:cstheme="majorHAnsi"/>
          <w:szCs w:val="28"/>
          <w:lang w:val="sv"/>
        </w:rPr>
        <w:t>Anslutningseffekt och anslutningsavgift</w:t>
      </w:r>
      <w:bookmarkEnd w:id="9"/>
    </w:p>
    <w:p w14:paraId="1F8904EA" w14:textId="77777777"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Anslutningseffektens storlek överenskoms i gasanslutningsavtalet.</w:t>
      </w:r>
    </w:p>
    <w:p w14:paraId="668E36AF" w14:textId="77777777"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Nätinnehavaren har rätt att begränsa anslutningens gasförbrukning till den anslutningseffekt som anges i gasanslutningsavtalet.</w:t>
      </w:r>
    </w:p>
    <w:p w14:paraId="78D4C1D2" w14:textId="748987DC"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Nätinnehavaren tar ut en anslutningsavgift av kunden enligt nätinnehavarens anslutningsavgiftsprinciper. Anslutningsavgiftens belopp bestäms enligt anslutningsavgiftsprinciperna och skrivs in i anslutningsavtalet.  </w:t>
      </w:r>
    </w:p>
    <w:p w14:paraId="151C84DC" w14:textId="77777777"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Anslutningsavgiften gäller en enskild anslutning.</w:t>
      </w:r>
    </w:p>
    <w:p w14:paraId="0221B13C" w14:textId="77777777"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Om gasbehovet förändras, kan den i gasanslutningsavtalet definierade anslutningsstorleken ändras. Vid ändring av anslutningens storlek upprättas ett nytt anslutningsavtal eller ett separat avtal, på vilket anslutningsvillkoren tillämpas.</w:t>
      </w:r>
    </w:p>
    <w:p w14:paraId="41A42D17" w14:textId="37C727A5" w:rsidR="0033395A" w:rsidRPr="00E24F9C" w:rsidRDefault="00553DC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Nätinnehavaren debiterar kunden för de kostnader som förminskningen, förstoringen eller konstruktionsändringen i anslutningen orsakar och på det sätt som de publicerats och  definierats i nätinnehavarens anslutningsavgiftsprinciper.</w:t>
      </w:r>
      <w:r>
        <w:rPr>
          <w:rFonts w:ascii="Calibri" w:hAnsi="Calibri" w:cs="Calibri"/>
          <w:strike/>
          <w:sz w:val="22"/>
          <w:szCs w:val="22"/>
          <w:lang w:val="sv"/>
        </w:rPr>
        <w:t xml:space="preserve"> </w:t>
      </w:r>
    </w:p>
    <w:p w14:paraId="6E48C3B9" w14:textId="77777777" w:rsidR="00301B5F" w:rsidRPr="00E24F9C" w:rsidRDefault="00301B5F" w:rsidP="00301B5F">
      <w:pPr>
        <w:pStyle w:val="Leipteksti24"/>
        <w:tabs>
          <w:tab w:val="clear" w:pos="-1620"/>
        </w:tabs>
        <w:spacing w:after="0"/>
        <w:ind w:left="1134"/>
        <w:outlineLvl w:val="1"/>
        <w:rPr>
          <w:rFonts w:ascii="Calibri" w:hAnsi="Calibri" w:cs="Calibri"/>
          <w:sz w:val="22"/>
          <w:szCs w:val="22"/>
          <w:lang w:val="sv-FI"/>
        </w:rPr>
      </w:pPr>
    </w:p>
    <w:p w14:paraId="52629E9A" w14:textId="738B0A58" w:rsidR="0033395A" w:rsidRPr="00EF7CE9" w:rsidRDefault="0033395A"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rPr>
      </w:pPr>
      <w:bookmarkStart w:id="10" w:name="_Toc27580310"/>
      <w:r>
        <w:rPr>
          <w:rFonts w:asciiTheme="majorHAnsi" w:hAnsiTheme="majorHAnsi" w:cstheme="majorHAnsi"/>
          <w:szCs w:val="28"/>
          <w:lang w:val="sv"/>
        </w:rPr>
        <w:t>Leverans av anslutningen</w:t>
      </w:r>
      <w:bookmarkEnd w:id="10"/>
    </w:p>
    <w:p w14:paraId="2C6B4C38" w14:textId="77777777"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Nätinnehavaren ger kunden tillstånd att ansluta driftsrörsystemet till sitt nät i leveranspunkten, när anslutningsavtalet har trätt i kraft och kunden har betalat anslutningsavgiften eller en överenskommen del av den. </w:t>
      </w:r>
    </w:p>
    <w:p w14:paraId="2B57C4C1" w14:textId="77777777" w:rsidR="008D48F0" w:rsidRPr="00E24F9C" w:rsidRDefault="008D48F0" w:rsidP="00DF4FE8">
      <w:pPr>
        <w:pStyle w:val="Leipteksti24"/>
        <w:numPr>
          <w:ilvl w:val="1"/>
          <w:numId w:val="1"/>
        </w:numPr>
        <w:tabs>
          <w:tab w:val="clear" w:pos="-1620"/>
        </w:tabs>
        <w:spacing w:before="120"/>
        <w:ind w:left="1304" w:hanging="737"/>
        <w:rPr>
          <w:rFonts w:ascii="Calibri" w:hAnsi="Calibri" w:cs="Calibri"/>
          <w:sz w:val="22"/>
          <w:szCs w:val="22"/>
          <w:lang w:val="sv-FI"/>
        </w:rPr>
      </w:pPr>
      <w:bookmarkStart w:id="11" w:name="_Hlk17814032"/>
      <w:r>
        <w:rPr>
          <w:rFonts w:ascii="Calibri" w:hAnsi="Calibri" w:cs="Calibri"/>
          <w:sz w:val="22"/>
          <w:szCs w:val="22"/>
          <w:lang w:val="sv"/>
        </w:rPr>
        <w:t xml:space="preserve">Kunden ansvarar för att hans driftsrörsystem och förbrukningsapparater för gas uppfyller de tekniska kraven på anslutning till distributionsnätet samt de eventuella systemtekniska krav som överföringsnätsinnehavaren har ställt upp. </w:t>
      </w:r>
    </w:p>
    <w:p w14:paraId="6123F3BB" w14:textId="77777777" w:rsidR="008D48F0" w:rsidRPr="00E24F9C" w:rsidRDefault="008D48F0"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Kunden ansvarar för anslutningens driftsrörsystem efter leveransgränsen och för alla förbrukningsapparater för gas.</w:t>
      </w:r>
    </w:p>
    <w:p w14:paraId="3B4A420C" w14:textId="77777777"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Kunden ska uppvisa ett adekvat besiktningsprotokoll för driftsrörsystemet och gasanläggningen, om nätinnehavaren kräver det.</w:t>
      </w:r>
    </w:p>
    <w:bookmarkEnd w:id="11"/>
    <w:p w14:paraId="2AD49C87" w14:textId="1178A0A1" w:rsidR="00EF0E9F"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Kundens rätt att hålla inne betalning av anslutningsavgiften</w:t>
      </w:r>
    </w:p>
    <w:p w14:paraId="3985BC89" w14:textId="357048BB" w:rsidR="0033395A" w:rsidRPr="00E24F9C" w:rsidRDefault="003C3C5A" w:rsidP="00DF4FE8">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Om anslutningen på grund av dröjsmål på nätinnehavarens sida inte är inkopplad då anslutningsavgiften eller en del av den förfaller till betalning, har kunden rätt att hålla inne betalningen tills anslutningen är inkopplad. </w:t>
      </w:r>
    </w:p>
    <w:p w14:paraId="5A9EB746" w14:textId="77777777" w:rsidR="00EF0E9F" w:rsidRPr="00E24F9C" w:rsidRDefault="00EF0E9F" w:rsidP="00DF4FE8">
      <w:pPr>
        <w:numPr>
          <w:ilvl w:val="2"/>
          <w:numId w:val="1"/>
        </w:numPr>
        <w:spacing w:before="120" w:after="120"/>
        <w:ind w:left="2609" w:hanging="1191"/>
        <w:rPr>
          <w:rFonts w:ascii="Calibri" w:hAnsi="Calibri" w:cs="Calibri"/>
          <w:sz w:val="22"/>
          <w:szCs w:val="22"/>
          <w:lang w:val="sv-FI"/>
        </w:rPr>
      </w:pPr>
      <w:r>
        <w:rPr>
          <w:rFonts w:ascii="Calibri" w:hAnsi="Calibri" w:cs="Calibri"/>
          <w:sz w:val="22"/>
          <w:szCs w:val="22"/>
          <w:lang w:val="sv"/>
        </w:rPr>
        <w:t>Efter inkopplingen av anslutningen har kunden rätt att hålla inne betalningen av den del av avgiften som behövs som säkerhet för skadeståndsanspråk som grundar sig på dröjsmålet.</w:t>
      </w:r>
    </w:p>
    <w:p w14:paraId="15E9DAAA" w14:textId="77777777" w:rsidR="0064034E" w:rsidRDefault="0064034E" w:rsidP="00DF4FE8">
      <w:pPr>
        <w:pStyle w:val="Leipteksti24"/>
        <w:numPr>
          <w:ilvl w:val="1"/>
          <w:numId w:val="1"/>
        </w:numPr>
        <w:tabs>
          <w:tab w:val="clear" w:pos="-1620"/>
        </w:tabs>
        <w:spacing w:before="120"/>
        <w:ind w:left="1304" w:hanging="737"/>
        <w:rPr>
          <w:rFonts w:ascii="Calibri" w:hAnsi="Calibri" w:cs="Calibri"/>
          <w:sz w:val="22"/>
          <w:szCs w:val="22"/>
        </w:rPr>
      </w:pPr>
      <w:r>
        <w:rPr>
          <w:rFonts w:ascii="Calibri" w:hAnsi="Calibri" w:cs="Calibri"/>
          <w:sz w:val="22"/>
          <w:szCs w:val="22"/>
          <w:lang w:val="sv"/>
        </w:rPr>
        <w:lastRenderedPageBreak/>
        <w:t>Standardersättning</w:t>
      </w:r>
    </w:p>
    <w:p w14:paraId="47766441" w14:textId="68F9A1C1" w:rsidR="0033395A" w:rsidRPr="00E24F9C" w:rsidRDefault="0033395A" w:rsidP="00DF4FE8">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Om inkopplingen av en anslutning fördröjs, har kunden rätt till en standardersättning. Kunden har inte rätt till standardersättning, om orsaken till att inkoppling inte kan ske är ett hinder på kundens sida eller något annat hinder som avses i punkterna </w:t>
      </w:r>
      <w:r>
        <w:rPr>
          <w:rFonts w:ascii="Calibri" w:hAnsi="Calibri" w:cs="Calibri"/>
          <w:sz w:val="22"/>
          <w:szCs w:val="22"/>
          <w:lang w:val="sv"/>
        </w:rPr>
        <w:fldChar w:fldCharType="begin"/>
      </w:r>
      <w:r>
        <w:rPr>
          <w:rFonts w:ascii="Calibri" w:hAnsi="Calibri" w:cs="Calibri"/>
          <w:sz w:val="22"/>
          <w:szCs w:val="22"/>
          <w:lang w:val="sv"/>
        </w:rPr>
        <w:instrText xml:space="preserve"> REF _Ref17874817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5.7.1</w:t>
      </w:r>
      <w:r>
        <w:rPr>
          <w:rFonts w:ascii="Calibri" w:hAnsi="Calibri" w:cs="Calibri"/>
          <w:sz w:val="22"/>
          <w:szCs w:val="22"/>
          <w:lang w:val="sv"/>
        </w:rPr>
        <w:fldChar w:fldCharType="end"/>
      </w:r>
      <w:r>
        <w:rPr>
          <w:rFonts w:ascii="Calibri" w:hAnsi="Calibri" w:cs="Calibri"/>
          <w:sz w:val="22"/>
          <w:szCs w:val="22"/>
          <w:lang w:val="sv"/>
        </w:rPr>
        <w:t>-</w:t>
      </w:r>
      <w:r>
        <w:rPr>
          <w:rFonts w:ascii="Calibri" w:hAnsi="Calibri" w:cs="Calibri"/>
          <w:sz w:val="22"/>
          <w:szCs w:val="22"/>
          <w:lang w:val="sv"/>
        </w:rPr>
        <w:fldChar w:fldCharType="begin"/>
      </w:r>
      <w:r>
        <w:rPr>
          <w:rFonts w:ascii="Calibri" w:hAnsi="Calibri" w:cs="Calibri"/>
          <w:sz w:val="22"/>
          <w:szCs w:val="22"/>
          <w:lang w:val="sv"/>
        </w:rPr>
        <w:instrText xml:space="preserve"> REF _Ref17874821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5.7.3</w:t>
      </w:r>
      <w:r>
        <w:rPr>
          <w:rFonts w:ascii="Calibri" w:hAnsi="Calibri" w:cs="Calibri"/>
          <w:sz w:val="22"/>
          <w:szCs w:val="22"/>
          <w:lang w:val="sv"/>
        </w:rPr>
        <w:fldChar w:fldCharType="end"/>
      </w:r>
      <w:r>
        <w:rPr>
          <w:rFonts w:ascii="Calibri" w:hAnsi="Calibri" w:cs="Calibri"/>
          <w:sz w:val="22"/>
          <w:szCs w:val="22"/>
          <w:lang w:val="sv"/>
        </w:rPr>
        <w:t xml:space="preserve"> eller </w:t>
      </w:r>
      <w:r>
        <w:rPr>
          <w:rFonts w:ascii="Calibri" w:hAnsi="Calibri" w:cs="Calibri"/>
          <w:sz w:val="22"/>
          <w:szCs w:val="22"/>
          <w:lang w:val="sv"/>
        </w:rPr>
        <w:fldChar w:fldCharType="begin"/>
      </w:r>
      <w:r>
        <w:rPr>
          <w:rFonts w:ascii="Calibri" w:hAnsi="Calibri" w:cs="Calibri"/>
          <w:sz w:val="22"/>
          <w:szCs w:val="22"/>
          <w:lang w:val="sv"/>
        </w:rPr>
        <w:instrText xml:space="preserve"> REF _Ref17874825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5.8</w:t>
      </w:r>
      <w:r>
        <w:rPr>
          <w:rFonts w:ascii="Calibri" w:hAnsi="Calibri" w:cs="Calibri"/>
          <w:sz w:val="22"/>
          <w:szCs w:val="22"/>
          <w:lang w:val="sv"/>
        </w:rPr>
        <w:fldChar w:fldCharType="end"/>
      </w:r>
      <w:r>
        <w:rPr>
          <w:rFonts w:ascii="Calibri" w:hAnsi="Calibri" w:cs="Calibri"/>
          <w:sz w:val="22"/>
          <w:szCs w:val="22"/>
          <w:lang w:val="sv"/>
        </w:rPr>
        <w:t xml:space="preserve">. </w:t>
      </w:r>
    </w:p>
    <w:p w14:paraId="23F0E9CE" w14:textId="77777777" w:rsidR="0033395A" w:rsidRPr="00E24F9C" w:rsidRDefault="0033395A" w:rsidP="00DF4FE8">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Standardersättningen är 5 procent av anslutningsavgiften för varje påbörjad vecka under de två första dröjsmålsveckorna och därefter 10 procent av anslutningsavgiften för varje påbörjad dröjsmålsvecka. Standardersättningen beräknas utgående från anslutningsavgiften enligt anslutningsavtalet.</w:t>
      </w:r>
      <w:r>
        <w:rPr>
          <w:rFonts w:ascii="Calibri" w:hAnsi="Calibri" w:cs="Calibri"/>
          <w:b/>
          <w:bCs/>
          <w:sz w:val="22"/>
          <w:szCs w:val="22"/>
          <w:lang w:val="sv"/>
        </w:rPr>
        <w:t xml:space="preserve"> </w:t>
      </w:r>
      <w:r>
        <w:rPr>
          <w:rFonts w:ascii="Calibri" w:hAnsi="Calibri" w:cs="Calibri"/>
          <w:sz w:val="22"/>
          <w:szCs w:val="22"/>
          <w:lang w:val="sv"/>
        </w:rPr>
        <w:t xml:space="preserve">Av anslutningsavtalet ska framgå den andel av anslutningsavgiften som ligger till grund för betalning av standardersättning för dröjsmål. </w:t>
      </w:r>
    </w:p>
    <w:p w14:paraId="6C4655A8" w14:textId="076F0EAA" w:rsidR="0033395A" w:rsidRPr="00E24F9C" w:rsidRDefault="0033395A" w:rsidP="00DF4FE8">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Standardersättningens maximibelopp är 30 procent av anslutningsavgiften enligt föregående punkt, dock högst 3.000,00 euro. På grundval av punkt </w:t>
      </w:r>
      <w:r>
        <w:rPr>
          <w:rFonts w:ascii="Calibri" w:hAnsi="Calibri" w:cs="Calibri"/>
          <w:sz w:val="22"/>
          <w:szCs w:val="22"/>
          <w:lang w:val="sv"/>
        </w:rPr>
        <w:fldChar w:fldCharType="begin"/>
      </w:r>
      <w:r>
        <w:rPr>
          <w:rFonts w:ascii="Calibri" w:hAnsi="Calibri" w:cs="Calibri"/>
          <w:sz w:val="22"/>
          <w:szCs w:val="22"/>
          <w:lang w:val="sv"/>
        </w:rPr>
        <w:instrText xml:space="preserve"> REF _Ref17874872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5.7</w:t>
      </w:r>
      <w:r>
        <w:rPr>
          <w:rFonts w:ascii="Calibri" w:hAnsi="Calibri" w:cs="Calibri"/>
          <w:sz w:val="22"/>
          <w:szCs w:val="22"/>
          <w:lang w:val="sv"/>
        </w:rPr>
        <w:fldChar w:fldCharType="end"/>
      </w:r>
      <w:r>
        <w:rPr>
          <w:rFonts w:ascii="Calibri" w:hAnsi="Calibri" w:cs="Calibri"/>
          <w:sz w:val="22"/>
          <w:szCs w:val="22"/>
          <w:lang w:val="sv"/>
        </w:rPr>
        <w:t xml:space="preserve"> med underpunkter har kunden dock utan hinder av de ovanstående punkterna rätt till ersättning som överstiger standardersättningen.</w:t>
      </w:r>
    </w:p>
    <w:p w14:paraId="6150F55B" w14:textId="77777777" w:rsidR="0064034E" w:rsidRDefault="0064034E" w:rsidP="00DF4FE8">
      <w:pPr>
        <w:pStyle w:val="Leipteksti24"/>
        <w:numPr>
          <w:ilvl w:val="1"/>
          <w:numId w:val="1"/>
        </w:numPr>
        <w:tabs>
          <w:tab w:val="clear" w:pos="-1620"/>
        </w:tabs>
        <w:spacing w:before="120"/>
        <w:ind w:left="1304" w:hanging="737"/>
        <w:rPr>
          <w:rFonts w:ascii="Calibri" w:hAnsi="Calibri" w:cs="Calibri"/>
          <w:sz w:val="22"/>
          <w:szCs w:val="22"/>
        </w:rPr>
      </w:pPr>
      <w:bookmarkStart w:id="12" w:name="_Ref17874872"/>
      <w:r>
        <w:rPr>
          <w:rFonts w:ascii="Calibri" w:hAnsi="Calibri" w:cs="Calibri"/>
          <w:sz w:val="22"/>
          <w:szCs w:val="22"/>
          <w:lang w:val="sv"/>
        </w:rPr>
        <w:t>Skadestånd</w:t>
      </w:r>
      <w:bookmarkEnd w:id="12"/>
    </w:p>
    <w:p w14:paraId="79E1907A" w14:textId="123148FD" w:rsidR="0033395A" w:rsidRPr="00E24F9C" w:rsidRDefault="0033395A" w:rsidP="00DF4FE8">
      <w:pPr>
        <w:pStyle w:val="Leipteksti24"/>
        <w:numPr>
          <w:ilvl w:val="2"/>
          <w:numId w:val="1"/>
        </w:numPr>
        <w:tabs>
          <w:tab w:val="clear" w:pos="-1620"/>
        </w:tabs>
        <w:spacing w:before="120"/>
        <w:ind w:left="2609" w:hanging="1191"/>
        <w:rPr>
          <w:rFonts w:ascii="Calibri" w:hAnsi="Calibri" w:cs="Calibri"/>
          <w:sz w:val="22"/>
          <w:szCs w:val="22"/>
          <w:lang w:val="sv-FI"/>
        </w:rPr>
      </w:pPr>
      <w:bookmarkStart w:id="13" w:name="_Ref17874817"/>
      <w:r>
        <w:rPr>
          <w:rFonts w:ascii="Calibri" w:hAnsi="Calibri" w:cs="Calibri"/>
          <w:sz w:val="22"/>
          <w:szCs w:val="22"/>
          <w:lang w:val="sv"/>
        </w:rPr>
        <w:t xml:space="preserve">Kunden och användaren har rätt till ersättning för den skada han lider genom dröjsmålet, om inte den nätinnehavare som är avtalspart visar att dröjsmålet berodde på ett hinder utanför hans kontroll som han inte skäligen kunde förväntas ha </w:t>
      </w:r>
      <w:r w:rsidR="006C4CF7">
        <w:rPr>
          <w:rFonts w:ascii="Calibri" w:hAnsi="Calibri" w:cs="Calibri"/>
          <w:sz w:val="22"/>
          <w:szCs w:val="22"/>
          <w:lang w:val="sv"/>
        </w:rPr>
        <w:t>beaktat</w:t>
      </w:r>
      <w:r>
        <w:rPr>
          <w:rFonts w:ascii="Calibri" w:hAnsi="Calibri" w:cs="Calibri"/>
          <w:sz w:val="22"/>
          <w:szCs w:val="22"/>
          <w:lang w:val="sv"/>
        </w:rPr>
        <w:t xml:space="preserve"> när avtalet ingicks och vars följder han inte heller skäligen kunde ha undvikit eller övervunnit.</w:t>
      </w:r>
      <w:bookmarkEnd w:id="13"/>
    </w:p>
    <w:p w14:paraId="5D709227" w14:textId="77777777" w:rsidR="0033395A" w:rsidRPr="00E24F9C" w:rsidRDefault="0033395A" w:rsidP="00DF4FE8">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Om dröjsmålet beror på tredje part som nätinnehavaren har anlitat för att fullgöra avtalet, är nätinnehavaren eller detaljförsäljaren fri från skadeståndsskyldighet bara om också den tredje part som han anlitat skulle vara fri från ansvar enligt föregående punkt.</w:t>
      </w:r>
    </w:p>
    <w:p w14:paraId="42A3C97F" w14:textId="77777777" w:rsidR="0064034E" w:rsidRPr="00E24F9C" w:rsidRDefault="0064034E" w:rsidP="00DF4FE8">
      <w:pPr>
        <w:pStyle w:val="Leipteksti24"/>
        <w:numPr>
          <w:ilvl w:val="2"/>
          <w:numId w:val="1"/>
        </w:numPr>
        <w:tabs>
          <w:tab w:val="clear" w:pos="-1620"/>
        </w:tabs>
        <w:spacing w:before="120"/>
        <w:ind w:left="2609" w:hanging="1191"/>
        <w:rPr>
          <w:rFonts w:ascii="Calibri" w:hAnsi="Calibri" w:cs="Calibri"/>
          <w:sz w:val="22"/>
          <w:szCs w:val="22"/>
          <w:lang w:val="sv-FI"/>
        </w:rPr>
      </w:pPr>
      <w:bookmarkStart w:id="14" w:name="_Ref17874821"/>
      <w:r>
        <w:rPr>
          <w:rFonts w:ascii="Calibri" w:hAnsi="Calibri" w:cs="Calibri"/>
          <w:sz w:val="22"/>
          <w:szCs w:val="22"/>
          <w:lang w:val="sv"/>
        </w:rPr>
        <w:t>Kunden har rätt till ersättning för indirekt skada utöver standardersättningen bara om dröjsmålet beror på vårdslöshet på nätinnehavarens sida. Om kunden inte är en konsument och om inte annat avtalats mellan parterna, är maximibeloppet för nätinnehavarens skadestånd för indirekt skada hälften av anslutningsavgiften. Om nätinnehavaren har gjort sig skyldig till uppsåtlighet eller grov vårdslöshet, tillämpas ingen begränsning av skadeståndets maximibelopp.</w:t>
      </w:r>
      <w:bookmarkEnd w:id="14"/>
      <w:r>
        <w:rPr>
          <w:rFonts w:ascii="Calibri" w:hAnsi="Calibri" w:cs="Calibri"/>
          <w:sz w:val="22"/>
          <w:szCs w:val="22"/>
          <w:lang w:val="sv"/>
        </w:rPr>
        <w:t xml:space="preserve"> </w:t>
      </w:r>
    </w:p>
    <w:p w14:paraId="2075D31F" w14:textId="77777777" w:rsidR="0064034E" w:rsidRDefault="0064034E" w:rsidP="00DF4FE8">
      <w:pPr>
        <w:pStyle w:val="Leipteksti24"/>
        <w:numPr>
          <w:ilvl w:val="2"/>
          <w:numId w:val="1"/>
        </w:numPr>
        <w:tabs>
          <w:tab w:val="clear" w:pos="-1620"/>
        </w:tabs>
        <w:spacing w:before="120"/>
        <w:ind w:left="2609" w:hanging="1191"/>
        <w:rPr>
          <w:rFonts w:ascii="Calibri" w:hAnsi="Calibri" w:cs="Calibri"/>
          <w:sz w:val="22"/>
          <w:szCs w:val="22"/>
        </w:rPr>
      </w:pPr>
      <w:r>
        <w:rPr>
          <w:rFonts w:ascii="Calibri" w:hAnsi="Calibri" w:cs="Calibri"/>
          <w:sz w:val="22"/>
          <w:szCs w:val="22"/>
          <w:lang w:val="sv"/>
        </w:rPr>
        <w:t>Som indirekt skada anses:</w:t>
      </w:r>
    </w:p>
    <w:p w14:paraId="633118C3" w14:textId="77777777" w:rsidR="0064034E" w:rsidRPr="00E24F9C" w:rsidRDefault="0064034E" w:rsidP="00DF4FE8">
      <w:pPr>
        <w:pStyle w:val="Leipteksti24"/>
        <w:tabs>
          <w:tab w:val="clear" w:pos="-1620"/>
        </w:tabs>
        <w:spacing w:before="120"/>
        <w:ind w:left="2609"/>
        <w:rPr>
          <w:rFonts w:ascii="Calibri" w:hAnsi="Calibri" w:cs="Calibri"/>
          <w:sz w:val="22"/>
          <w:szCs w:val="22"/>
          <w:lang w:val="sv-FI"/>
        </w:rPr>
      </w:pPr>
      <w:r>
        <w:rPr>
          <w:rFonts w:ascii="Calibri" w:hAnsi="Calibri" w:cs="Calibri"/>
          <w:sz w:val="22"/>
          <w:szCs w:val="22"/>
          <w:lang w:val="sv"/>
        </w:rPr>
        <w:t xml:space="preserve"> 1) förlust av inkomst som kunden drabbas av på grund av dröjsmålet eller åtgärder till följd av detta; </w:t>
      </w:r>
    </w:p>
    <w:p w14:paraId="6D8FDC22" w14:textId="77777777" w:rsidR="0064034E" w:rsidRPr="00E24F9C" w:rsidRDefault="0064034E" w:rsidP="00DF4FE8">
      <w:pPr>
        <w:pStyle w:val="Leipteksti24"/>
        <w:tabs>
          <w:tab w:val="clear" w:pos="-1620"/>
        </w:tabs>
        <w:spacing w:before="120"/>
        <w:ind w:left="2609"/>
        <w:rPr>
          <w:rFonts w:ascii="Calibri" w:hAnsi="Calibri" w:cs="Calibri"/>
          <w:sz w:val="22"/>
          <w:szCs w:val="22"/>
          <w:lang w:val="sv-FI"/>
        </w:rPr>
      </w:pPr>
      <w:r>
        <w:rPr>
          <w:rFonts w:ascii="Calibri" w:hAnsi="Calibri" w:cs="Calibri"/>
          <w:sz w:val="22"/>
          <w:szCs w:val="22"/>
          <w:lang w:val="sv"/>
        </w:rPr>
        <w:t xml:space="preserve">2) skada som beror på förpliktelse som grundar sig på något annat avtal; </w:t>
      </w:r>
    </w:p>
    <w:p w14:paraId="42FD08C0" w14:textId="165529E9" w:rsidR="0064034E" w:rsidRPr="00E24F9C" w:rsidRDefault="0064034E" w:rsidP="00DF4FE8">
      <w:pPr>
        <w:pStyle w:val="Leipteksti24"/>
        <w:tabs>
          <w:tab w:val="clear" w:pos="-1620"/>
        </w:tabs>
        <w:spacing w:before="120"/>
        <w:ind w:left="2609"/>
        <w:rPr>
          <w:rFonts w:ascii="Calibri" w:hAnsi="Calibri" w:cs="Calibri"/>
          <w:sz w:val="22"/>
          <w:szCs w:val="22"/>
          <w:lang w:val="sv-FI"/>
        </w:rPr>
      </w:pPr>
      <w:r>
        <w:rPr>
          <w:rFonts w:ascii="Calibri" w:hAnsi="Calibri" w:cs="Calibri"/>
          <w:sz w:val="22"/>
          <w:szCs w:val="22"/>
          <w:lang w:val="sv"/>
        </w:rPr>
        <w:t xml:space="preserve">3) väsentlig förlust av driftsställets bruksnytta, om förlusten dock inte medför direkt ekonomisk skada, samt annan jämförbar väsentlig olägenhet; och </w:t>
      </w:r>
    </w:p>
    <w:p w14:paraId="00458618" w14:textId="77777777" w:rsidR="0064034E" w:rsidRPr="00E24F9C" w:rsidRDefault="0064034E" w:rsidP="00DF4FE8">
      <w:pPr>
        <w:pStyle w:val="Leipteksti24"/>
        <w:tabs>
          <w:tab w:val="clear" w:pos="-1620"/>
        </w:tabs>
        <w:spacing w:before="120"/>
        <w:ind w:left="2609"/>
        <w:rPr>
          <w:rFonts w:ascii="Calibri" w:hAnsi="Calibri" w:cs="Calibri"/>
          <w:sz w:val="22"/>
          <w:szCs w:val="22"/>
          <w:lang w:val="sv-FI"/>
        </w:rPr>
      </w:pPr>
      <w:r>
        <w:rPr>
          <w:rFonts w:ascii="Calibri" w:hAnsi="Calibri" w:cs="Calibri"/>
          <w:sz w:val="22"/>
          <w:szCs w:val="22"/>
          <w:lang w:val="sv"/>
        </w:rPr>
        <w:t>4) annan likartad skada som är svår att förutse.</w:t>
      </w:r>
    </w:p>
    <w:p w14:paraId="0636001E" w14:textId="77777777"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bookmarkStart w:id="15" w:name="_Ref17874825"/>
      <w:r>
        <w:rPr>
          <w:rFonts w:ascii="Calibri" w:hAnsi="Calibri"/>
          <w:sz w:val="22"/>
          <w:szCs w:val="22"/>
          <w:lang w:val="sv"/>
        </w:rPr>
        <w:t xml:space="preserve">Om kunden anmäler ett dröjsmål på sin sida så sent att nätinnehavaren redan har hunnit inleda arbetet på anslutningen, har nätinnehavaren rätt att på basis av en utredning ta ut en skälig ersättning för åtgärder som har blivit nödvändiga på grund av dröjsmålet samt för </w:t>
      </w:r>
      <w:r>
        <w:rPr>
          <w:rFonts w:ascii="Calibri" w:hAnsi="Calibri"/>
          <w:sz w:val="22"/>
          <w:szCs w:val="22"/>
          <w:lang w:val="sv"/>
        </w:rPr>
        <w:lastRenderedPageBreak/>
        <w:t>nödvändiga åtgärder som blivit överflödiga, i enlighet med den prislista som nätinnehavaren publicerat.</w:t>
      </w:r>
      <w:bookmarkEnd w:id="15"/>
      <w:r>
        <w:rPr>
          <w:lang w:val="sv"/>
        </w:rPr>
        <w:t xml:space="preserve"> </w:t>
      </w:r>
    </w:p>
    <w:p w14:paraId="60AF379E" w14:textId="327538A0"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En avtalspart ska omedelbart meddela den andra avtalsparten om dröjsmål som han känner till.</w:t>
      </w:r>
    </w:p>
    <w:p w14:paraId="560A1170" w14:textId="77777777" w:rsidR="00301B5F" w:rsidRPr="00E24F9C" w:rsidRDefault="00301B5F" w:rsidP="00301B5F">
      <w:pPr>
        <w:pStyle w:val="Leipteksti24"/>
        <w:tabs>
          <w:tab w:val="clear" w:pos="-1620"/>
        </w:tabs>
        <w:spacing w:after="0"/>
        <w:ind w:left="1134"/>
        <w:outlineLvl w:val="1"/>
        <w:rPr>
          <w:rFonts w:ascii="Calibri" w:hAnsi="Calibri" w:cs="Calibri"/>
          <w:sz w:val="22"/>
          <w:szCs w:val="22"/>
          <w:lang w:val="sv-FI"/>
        </w:rPr>
      </w:pPr>
    </w:p>
    <w:p w14:paraId="3CF5A3DE" w14:textId="77777777" w:rsidR="0033395A" w:rsidRPr="00E24F9C" w:rsidRDefault="0033395A"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lang w:val="sv-FI"/>
        </w:rPr>
      </w:pPr>
      <w:bookmarkStart w:id="16" w:name="_Toc27580311"/>
      <w:r>
        <w:rPr>
          <w:rFonts w:asciiTheme="majorHAnsi" w:hAnsiTheme="majorHAnsi" w:cstheme="majorHAnsi"/>
          <w:szCs w:val="28"/>
          <w:lang w:val="sv"/>
        </w:rPr>
        <w:t>Byggande av anslutningen och nödvändiga nyttjanderätter</w:t>
      </w:r>
      <w:bookmarkEnd w:id="16"/>
    </w:p>
    <w:p w14:paraId="369C4BD3" w14:textId="2ABF490E"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Nätinnehavaren drar det gasdistributionsrörsystem som krävs för anslutningen till kundens område fram till leveransgränsen. Leveransgränsen är den </w:t>
      </w:r>
      <w:r w:rsidR="004571CB">
        <w:rPr>
          <w:rFonts w:ascii="Calibri" w:hAnsi="Calibri" w:cs="Calibri"/>
          <w:sz w:val="22"/>
          <w:szCs w:val="22"/>
          <w:lang w:val="sv"/>
        </w:rPr>
        <w:t>röranslutning</w:t>
      </w:r>
      <w:r>
        <w:rPr>
          <w:rFonts w:ascii="Calibri" w:hAnsi="Calibri" w:cs="Calibri"/>
          <w:sz w:val="22"/>
          <w:szCs w:val="22"/>
          <w:lang w:val="sv"/>
        </w:rPr>
        <w:t xml:space="preserve"> som följer efter mätanordningen, om inte annat avtalas. Nätinnehavaren och kunden kommer sinsemellan överens om de byggnadstekniska arbeten som distributionsrörsystemet kräver på kundens fastighet.</w:t>
      </w:r>
    </w:p>
    <w:p w14:paraId="25159EC4" w14:textId="73122A1D"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bookmarkStart w:id="17" w:name="_Ref332628109"/>
      <w:r>
        <w:rPr>
          <w:rFonts w:ascii="Calibri" w:hAnsi="Calibri" w:cs="Calibri"/>
          <w:sz w:val="22"/>
          <w:szCs w:val="22"/>
          <w:lang w:val="sv"/>
        </w:rPr>
        <w:t>I den byggnad och på de mark- eller vattenområden som kunden äger eller annars besitter ställer kunden nödvändig plats till nätinnehavarens förfogande för placering, granskning och underhåll av det gasdistributionsrörsystem som byggs för kunden samt för nödvändiga mät-, regler- och övriga anordningar. Rörsystemen, anläggningarna och anordningarna ska placeras så att de inte medför oskälig skada eller olägenhet. För nyttjanderätten betalas ingen ersättning. Teknikrummen får inte användas för ändamål som försvårar underhållet av anläggningen eller äventyrar säkerheten. Kunden ansvarar för belysningen och städningen av teknikrummen och ser till att inga utomstående har tillträde. Nätinnehavaren ska ha obehindrat tillträde för att utföra service på och granska sitt rörsystem och sina anordningar.</w:t>
      </w:r>
      <w:bookmarkEnd w:id="17"/>
    </w:p>
    <w:p w14:paraId="4978991F" w14:textId="4D7FE18B"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Nätinnehavaren har rätt att i enlighet med fastighetsbildningslagen ansöka om servitut eller annan bestående nyttjanderätt som säkerhet för att ovan nämnda rättigheter är bestående. Innan arbetena påbörjas ska det överenskommas med fastighetens ägare om ersättningen för de ekonomiska förluster som byggandet och nyttjanderätten orsakar.</w:t>
      </w:r>
    </w:p>
    <w:p w14:paraId="329724E3" w14:textId="0F696985"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Om kunden vill göra ändringar i sin fastighet som föranleder ändringar i nätinnehavarens distributionsrörsystem, ska kunden skriftligen meddela nätinnehavaren om detta minst tre månader innan ändringsarbetena påbörjas. Nätinnehavaren har rätt att debitera kunden på kostnaderna för ändringen av distributionsrörsystemet.</w:t>
      </w:r>
    </w:p>
    <w:p w14:paraId="5A01C990" w14:textId="77777777" w:rsidR="00301B5F" w:rsidRPr="00E24F9C" w:rsidRDefault="00301B5F" w:rsidP="00301B5F">
      <w:pPr>
        <w:pStyle w:val="Leipteksti24"/>
        <w:tabs>
          <w:tab w:val="clear" w:pos="-1620"/>
        </w:tabs>
        <w:spacing w:after="0"/>
        <w:ind w:left="1134"/>
        <w:outlineLvl w:val="1"/>
        <w:rPr>
          <w:rFonts w:ascii="Calibri" w:hAnsi="Calibri" w:cs="Calibri"/>
          <w:sz w:val="22"/>
          <w:szCs w:val="22"/>
          <w:lang w:val="sv-FI"/>
        </w:rPr>
      </w:pPr>
    </w:p>
    <w:p w14:paraId="6B6EDE25" w14:textId="758B8B08" w:rsidR="0033395A" w:rsidRPr="00EF7CE9" w:rsidRDefault="0033395A"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rPr>
      </w:pPr>
      <w:bookmarkStart w:id="18" w:name="_Toc27580312"/>
      <w:r>
        <w:rPr>
          <w:rFonts w:asciiTheme="majorHAnsi" w:hAnsiTheme="majorHAnsi" w:cstheme="majorHAnsi"/>
          <w:szCs w:val="28"/>
          <w:lang w:val="sv"/>
        </w:rPr>
        <w:t>Upprätthållande av anslutningen</w:t>
      </w:r>
      <w:bookmarkEnd w:id="18"/>
    </w:p>
    <w:p w14:paraId="174D2ECD" w14:textId="1FEBDAAE"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Om kunden vill att gasanslutningsavtalet ska förbli i kraft trots att det inte finns ett giltigt nättjänstavtal för gasdriftsstället, ska kunden utgående från ett separat avtal ersätta nätinnehavaren för de kostnader som upprätthållandet av anslutningen förorsakar, enligt gällande prislista som nätinnehavaren publicerat och anmält till Energimyndigheten. </w:t>
      </w:r>
    </w:p>
    <w:p w14:paraId="07091D9B" w14:textId="10B2A5A5"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Kunden anses ha brutit mot en väsentlig avtalsförpliktelse om han vägrar att ingå ett avtal om upprätthållande av anslutningen. Detsamma gäller om kunden i väsentlig grad försummar att betala avgifter enligt nämnda avtal.</w:t>
      </w:r>
    </w:p>
    <w:p w14:paraId="03C18074" w14:textId="3B7B1024"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I avtalet om upprätthållande av anslutningen eller i därtill fogade tillämpliga avtalsvillkor ska nämnas bland annat avgiftens storlek samt de grunder på vilka avgiftens storlek kan ändras under avtalets giltighetstid. </w:t>
      </w:r>
    </w:p>
    <w:p w14:paraId="7B270121" w14:textId="77777777" w:rsidR="00301B5F" w:rsidRPr="00E24F9C" w:rsidRDefault="00301B5F" w:rsidP="00301B5F">
      <w:pPr>
        <w:pStyle w:val="Leipteksti24"/>
        <w:tabs>
          <w:tab w:val="clear" w:pos="-1620"/>
        </w:tabs>
        <w:spacing w:after="0"/>
        <w:ind w:left="1134"/>
        <w:outlineLvl w:val="1"/>
        <w:rPr>
          <w:rFonts w:ascii="Calibri" w:hAnsi="Calibri" w:cs="Calibri"/>
          <w:sz w:val="22"/>
          <w:szCs w:val="22"/>
          <w:lang w:val="sv-FI"/>
        </w:rPr>
      </w:pPr>
    </w:p>
    <w:p w14:paraId="31699E02" w14:textId="77777777" w:rsidR="0033395A" w:rsidRPr="00EF7CE9" w:rsidRDefault="0033395A"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rPr>
      </w:pPr>
      <w:bookmarkStart w:id="19" w:name="_Toc27580313"/>
      <w:r>
        <w:rPr>
          <w:rFonts w:asciiTheme="majorHAnsi" w:hAnsiTheme="majorHAnsi" w:cstheme="majorHAnsi"/>
          <w:szCs w:val="28"/>
          <w:lang w:val="sv"/>
        </w:rPr>
        <w:lastRenderedPageBreak/>
        <w:t>Anslutningens driftsäkerhet och underhåll</w:t>
      </w:r>
      <w:bookmarkEnd w:id="19"/>
    </w:p>
    <w:p w14:paraId="3BDF9196" w14:textId="3DEE0F4E" w:rsidR="0033395A" w:rsidRPr="00E24F9C" w:rsidRDefault="23DA9024"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Avtalsparterna är skyldiga att hålla sina gasrörsystem och gasanordningar i ett sådant skick som föreskrivs i behörig lagstiftning och i bestämmelser och föreskrifter som utfärdats med stöd av den. Kunden är därutöver skyldig att iaktta andra eventuella krav och anvisningar som utfärdats för gasanläggningar samt konstruktion, byggande och drift av dem i lagstiftningen, myndighetsföreskrifter, den systemansvarigas systemtekniska krav och i anslutningsavtalet.</w:t>
      </w:r>
    </w:p>
    <w:p w14:paraId="0AE0FFB0" w14:textId="01B602FB"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Kunden och användaren är därutöver skyldiga att i tillämpliga delar följa krav och anvisningar som utfärdats för gasanläggningar samt konstruktion, byggande och drift av dem i den systemansvarigas systemtekniska krav och i kundens anslutningsavtal.</w:t>
      </w:r>
    </w:p>
    <w:p w14:paraId="74BDAE65" w14:textId="2F72C84B"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Kunden eller användaren ska utan dröjsmål meddela nätinnehavaren om uppenbara fel och brister som han upptäckt i dennas distributionsrörsystem och anordningar. Nätinnehavaren ska snarast möjligt reparera fel i sitt distributionsrörsystem och sina anordningar. </w:t>
      </w:r>
    </w:p>
    <w:p w14:paraId="617AB545" w14:textId="77777777" w:rsidR="00301B5F" w:rsidRPr="00E24F9C" w:rsidRDefault="00301B5F" w:rsidP="00301B5F">
      <w:pPr>
        <w:pStyle w:val="Leipteksti24"/>
        <w:tabs>
          <w:tab w:val="clear" w:pos="-1620"/>
        </w:tabs>
        <w:spacing w:after="0"/>
        <w:ind w:left="1134"/>
        <w:outlineLvl w:val="1"/>
        <w:rPr>
          <w:rFonts w:ascii="Calibri" w:hAnsi="Calibri" w:cs="Calibri"/>
          <w:sz w:val="22"/>
          <w:szCs w:val="22"/>
          <w:lang w:val="sv-FI"/>
        </w:rPr>
      </w:pPr>
    </w:p>
    <w:p w14:paraId="2BD84005" w14:textId="77777777" w:rsidR="0033395A" w:rsidRPr="00EF7CE9" w:rsidRDefault="0033395A"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rPr>
      </w:pPr>
      <w:bookmarkStart w:id="20" w:name="_Toc27580314"/>
      <w:r>
        <w:rPr>
          <w:rFonts w:asciiTheme="majorHAnsi" w:hAnsiTheme="majorHAnsi" w:cstheme="majorHAnsi"/>
          <w:szCs w:val="28"/>
          <w:lang w:val="sv"/>
        </w:rPr>
        <w:t>Överföring av gasanslutningsavtal</w:t>
      </w:r>
      <w:bookmarkEnd w:id="20"/>
    </w:p>
    <w:p w14:paraId="221CC5E0" w14:textId="308969BC"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Nätinnehavaren kan överföra anslutningsavtalet på en annan nätinnehavare. Villkoren i gasanslutningsavtalet kan inte ändras vid överföringen. Den gamla nätinnehavaren ska skriftligen meddela kunden om överföringen snarast möjligt, dock senast inom 30 dagar från överföringen.</w:t>
      </w:r>
    </w:p>
    <w:p w14:paraId="44DFF5D8" w14:textId="77777777"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bookmarkStart w:id="21" w:name="_Ref346272974"/>
      <w:r>
        <w:rPr>
          <w:rFonts w:ascii="Calibri" w:hAnsi="Calibri" w:cs="Calibri"/>
          <w:sz w:val="22"/>
          <w:szCs w:val="22"/>
          <w:lang w:val="sv"/>
        </w:rPr>
        <w:t>Kunden kan överföra gasanslutningsavtalet på tredje part.</w:t>
      </w:r>
      <w:bookmarkEnd w:id="21"/>
      <w:r>
        <w:rPr>
          <w:rFonts w:ascii="Calibri" w:hAnsi="Calibri" w:cs="Calibri"/>
          <w:sz w:val="22"/>
          <w:szCs w:val="22"/>
          <w:lang w:val="sv"/>
        </w:rPr>
        <w:t xml:space="preserve"> </w:t>
      </w:r>
    </w:p>
    <w:p w14:paraId="5EE746A5" w14:textId="00D0CAC2" w:rsidR="0033395A" w:rsidRPr="00E24F9C" w:rsidRDefault="0033395A" w:rsidP="00DF4FE8">
      <w:pPr>
        <w:pStyle w:val="Leipteksti24"/>
        <w:numPr>
          <w:ilvl w:val="2"/>
          <w:numId w:val="1"/>
        </w:numPr>
        <w:tabs>
          <w:tab w:val="clear" w:pos="-1620"/>
        </w:tabs>
        <w:spacing w:before="120"/>
        <w:ind w:left="2609" w:hanging="1191"/>
        <w:rPr>
          <w:rFonts w:ascii="Calibri" w:hAnsi="Calibri" w:cs="Calibri"/>
          <w:sz w:val="22"/>
          <w:szCs w:val="22"/>
          <w:lang w:val="sv-FI"/>
        </w:rPr>
      </w:pPr>
      <w:bookmarkStart w:id="22" w:name="_Ref346272948"/>
      <w:r>
        <w:rPr>
          <w:rFonts w:ascii="Calibri" w:hAnsi="Calibri" w:cs="Calibri"/>
          <w:sz w:val="22"/>
          <w:szCs w:val="22"/>
          <w:lang w:val="sv"/>
        </w:rPr>
        <w:t>Avtalet kan dock inte överföras, om nätinnehavaren har fordringar på överlåtaren vilka grundar sig på anslutningsavtalet, försäljningsavtalet, helhetsleveransavtalet eller nätavtalet för driftsstället i fråga, om inte den nya kunden uttryckligen åtar sig att svara för ifrågavarande fordringar.</w:t>
      </w:r>
      <w:bookmarkEnd w:id="22"/>
      <w:r>
        <w:rPr>
          <w:rFonts w:ascii="Calibri" w:hAnsi="Calibri" w:cs="Calibri"/>
          <w:sz w:val="22"/>
          <w:szCs w:val="22"/>
          <w:lang w:val="sv"/>
        </w:rPr>
        <w:t xml:space="preserve"> </w:t>
      </w:r>
    </w:p>
    <w:p w14:paraId="698E0659" w14:textId="77777777" w:rsidR="0033395A" w:rsidRPr="00E24F9C" w:rsidRDefault="0033395A" w:rsidP="00DF4FE8">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Överföringen är bindande för nätinnehavaren när överföringsavtalet har undertecknats och nätinnehavaren har godkänt överföringen av ovan nämnda fordringar och övriga skyldigheter som ingår i anslutningsavtalet. På mottagaren (endossaten) tillämpas vad som i dessa villkor föreskrivs angående kunden.</w:t>
      </w:r>
    </w:p>
    <w:p w14:paraId="08967F71" w14:textId="688EC1F1"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Anslutningsavtalet överförs inte automatiskt på fastighetens nya ägare eller innehavare vid överlåtelse av fastighet, om inte överföringen nämns i överlåtelsebrevet för fastigheten eller i ett särskilt överlåtelsebrev eller om det inte på något annat sätt har avtalats om överföringen så att avtalet kan bestyrkas i efterhand. Förutsättningen för överföring av gasanslutningsavtalet är att villkoren i punkt </w:t>
      </w:r>
      <w:r>
        <w:rPr>
          <w:rFonts w:ascii="Calibri" w:hAnsi="Calibri" w:cs="Calibri"/>
          <w:sz w:val="22"/>
          <w:szCs w:val="22"/>
          <w:lang w:val="sv"/>
        </w:rPr>
        <w:fldChar w:fldCharType="begin"/>
      </w:r>
      <w:r>
        <w:rPr>
          <w:rFonts w:ascii="Calibri" w:hAnsi="Calibri" w:cs="Calibri"/>
          <w:sz w:val="22"/>
          <w:szCs w:val="22"/>
          <w:lang w:val="sv"/>
        </w:rPr>
        <w:instrText xml:space="preserve"> REF _Ref346272974 \r \h  \* MERGEFORMAT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9.2</w:t>
      </w:r>
      <w:r>
        <w:rPr>
          <w:rFonts w:ascii="Calibri" w:hAnsi="Calibri" w:cs="Calibri"/>
          <w:sz w:val="22"/>
          <w:szCs w:val="22"/>
          <w:lang w:val="sv"/>
        </w:rPr>
        <w:fldChar w:fldCharType="end"/>
      </w:r>
      <w:r>
        <w:rPr>
          <w:rFonts w:ascii="Calibri" w:hAnsi="Calibri" w:cs="Calibri"/>
          <w:sz w:val="22"/>
          <w:szCs w:val="22"/>
          <w:lang w:val="sv"/>
        </w:rPr>
        <w:t xml:space="preserve"> uppfylls.</w:t>
      </w:r>
    </w:p>
    <w:p w14:paraId="10A3D63D" w14:textId="77777777"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Anslutningsavtalet kan inte överföras på en annan anslutning.</w:t>
      </w:r>
    </w:p>
    <w:p w14:paraId="0FA9A379" w14:textId="77777777" w:rsidR="00301B5F" w:rsidRPr="00E24F9C" w:rsidRDefault="00301B5F" w:rsidP="00301B5F">
      <w:pPr>
        <w:pStyle w:val="Leipteksti24"/>
        <w:tabs>
          <w:tab w:val="clear" w:pos="-1620"/>
        </w:tabs>
        <w:spacing w:after="0"/>
        <w:ind w:left="1134"/>
        <w:outlineLvl w:val="1"/>
        <w:rPr>
          <w:rFonts w:ascii="Calibri" w:hAnsi="Calibri" w:cs="Calibri"/>
          <w:sz w:val="22"/>
          <w:szCs w:val="22"/>
          <w:lang w:val="sv-FI"/>
        </w:rPr>
      </w:pPr>
    </w:p>
    <w:p w14:paraId="785EA0DF" w14:textId="61ACCD65" w:rsidR="0033395A" w:rsidRPr="00EF7CE9" w:rsidRDefault="00B63006"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rPr>
      </w:pPr>
      <w:r>
        <w:rPr>
          <w:rFonts w:asciiTheme="majorHAnsi" w:hAnsiTheme="majorHAnsi" w:cstheme="majorHAnsi"/>
          <w:szCs w:val="28"/>
          <w:lang w:val="sv"/>
        </w:rPr>
        <w:t xml:space="preserve">  </w:t>
      </w:r>
      <w:bookmarkStart w:id="23" w:name="_Toc27580315"/>
      <w:r>
        <w:rPr>
          <w:rFonts w:asciiTheme="majorHAnsi" w:hAnsiTheme="majorHAnsi" w:cstheme="majorHAnsi"/>
          <w:szCs w:val="28"/>
          <w:lang w:val="sv"/>
        </w:rPr>
        <w:t>Ändring av avtalsvillkoren</w:t>
      </w:r>
      <w:bookmarkEnd w:id="23"/>
    </w:p>
    <w:p w14:paraId="614E8C7C" w14:textId="24E76947"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Avtalsparterna kan gemensamt komma överens om att ändra ett individuellt gasanslutningsavtal. Beträffande ändringens form se punkterna </w:t>
      </w:r>
      <w:r>
        <w:rPr>
          <w:rFonts w:ascii="Calibri" w:hAnsi="Calibri" w:cs="Calibri"/>
          <w:sz w:val="22"/>
          <w:szCs w:val="22"/>
          <w:lang w:val="sv"/>
        </w:rPr>
        <w:fldChar w:fldCharType="begin"/>
      </w:r>
      <w:r>
        <w:rPr>
          <w:rFonts w:ascii="Calibri" w:hAnsi="Calibri" w:cs="Calibri"/>
          <w:sz w:val="22"/>
          <w:szCs w:val="22"/>
          <w:lang w:val="sv"/>
        </w:rPr>
        <w:instrText xml:space="preserve"> REF _Ref332627801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3.3</w:t>
      </w:r>
      <w:r>
        <w:rPr>
          <w:rFonts w:ascii="Calibri" w:hAnsi="Calibri" w:cs="Calibri"/>
          <w:sz w:val="22"/>
          <w:szCs w:val="22"/>
          <w:lang w:val="sv"/>
        </w:rPr>
        <w:fldChar w:fldCharType="end"/>
      </w:r>
      <w:r>
        <w:rPr>
          <w:rFonts w:ascii="Calibri" w:hAnsi="Calibri" w:cs="Calibri"/>
          <w:sz w:val="22"/>
          <w:szCs w:val="22"/>
          <w:lang w:val="sv"/>
        </w:rPr>
        <w:t xml:space="preserve"> och </w:t>
      </w:r>
      <w:r>
        <w:rPr>
          <w:rFonts w:ascii="Calibri" w:hAnsi="Calibri" w:cs="Calibri"/>
          <w:sz w:val="22"/>
          <w:szCs w:val="22"/>
          <w:lang w:val="sv"/>
        </w:rPr>
        <w:fldChar w:fldCharType="begin"/>
      </w:r>
      <w:r>
        <w:rPr>
          <w:rFonts w:ascii="Calibri" w:hAnsi="Calibri" w:cs="Calibri"/>
          <w:sz w:val="22"/>
          <w:szCs w:val="22"/>
          <w:lang w:val="sv"/>
        </w:rPr>
        <w:instrText xml:space="preserve"> REF _Ref23319427 \r \h </w:instrText>
      </w:r>
      <w:r>
        <w:rPr>
          <w:rFonts w:ascii="Calibri" w:hAnsi="Calibri" w:cs="Calibri"/>
          <w:sz w:val="22"/>
          <w:szCs w:val="22"/>
          <w:lang w:val="sv"/>
        </w:rPr>
      </w:r>
      <w:r>
        <w:rPr>
          <w:rFonts w:ascii="Calibri" w:hAnsi="Calibri" w:cs="Calibri"/>
          <w:sz w:val="22"/>
          <w:szCs w:val="22"/>
          <w:lang w:val="sv"/>
        </w:rPr>
        <w:fldChar w:fldCharType="separate"/>
      </w:r>
      <w:r>
        <w:rPr>
          <w:rFonts w:ascii="Calibri" w:hAnsi="Calibri" w:cs="Calibri"/>
          <w:sz w:val="22"/>
          <w:szCs w:val="22"/>
          <w:lang w:val="sv"/>
        </w:rPr>
        <w:t>3.5</w:t>
      </w:r>
      <w:r>
        <w:rPr>
          <w:rFonts w:ascii="Calibri" w:hAnsi="Calibri" w:cs="Calibri"/>
          <w:sz w:val="22"/>
          <w:szCs w:val="22"/>
          <w:lang w:val="sv"/>
        </w:rPr>
        <w:fldChar w:fldCharType="end"/>
      </w:r>
      <w:r>
        <w:rPr>
          <w:rFonts w:ascii="Calibri" w:hAnsi="Calibri" w:cs="Calibri"/>
          <w:sz w:val="22"/>
          <w:szCs w:val="22"/>
          <w:lang w:val="sv"/>
        </w:rPr>
        <w:t xml:space="preserve">. Anslutningsavgiftens belopp kan inte ändras till kundens nackdel med stöd av punkterna nedan i detta kapitel. </w:t>
      </w:r>
    </w:p>
    <w:p w14:paraId="1D706C75" w14:textId="77777777"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lastRenderedPageBreak/>
        <w:t>Nätinnehavaren har rätt att ändra avtalsvillkoren, om ändringen grundar sig på en lagändring eller ett myndighetsbeslut som nätinnehavaren inte kunde räkna med när anslutningsavtalet ingicks.</w:t>
      </w:r>
    </w:p>
    <w:p w14:paraId="7CFD7E32" w14:textId="77777777"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Nätinnehavaren kan också ändra avtalsvillkoren på grundval av en lagändring eller ett myndighetsbeslut som nätinnehavaren kände till då anslutningsavtalet ingicks, förutsatt att ändringen inte innebär en väsentlig förändring av det centrala innehållet i gasanslutningsavtalet.</w:t>
      </w:r>
    </w:p>
    <w:p w14:paraId="23DF3F20" w14:textId="77777777"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Vidare har nätinnehavaren rätt att ändra avtalsvillkoren, om ändringen är särskilt motiverad till följd av en väsentlig förändring i förhållandena eller föråldrade avtalsarrangemang.</w:t>
      </w:r>
    </w:p>
    <w:p w14:paraId="468564F3" w14:textId="77777777"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Nätinnehavaren har rätt till sådana små ändringar av avtalsvillkoren som inte inverkar på det centrala innehållet i avtalsförhållandet.</w:t>
      </w:r>
    </w:p>
    <w:p w14:paraId="067E8C35" w14:textId="77777777"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Nätinnehavaren ska tillsända kunden ett meddelande om hur och från vilken tidpunkt avtalsvillkoren ändras och på vilka grunder ändringen görs. I meddelandet ska det också uppges om avtalsparten har rätt att säga upp anslutningsavtalet. Om grunden är någon annan än en lagändring eller ett myndighetsbeslut, får ändringen träda i kraft tidigast 30 dagar efter att meddelandet avsändes. Meddelandet skickas till den kontaktadress som kunden meddelat nätinnehavaren, och om någon sådan adress inte är känd, till anslutningens adress. Meddelandet kan till exempel ingå i kundens faktura för nättjänst eller leverans. </w:t>
      </w:r>
    </w:p>
    <w:p w14:paraId="3FD57D22" w14:textId="2AF2C7A1"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Om ändringen grundar sig på en lagändring eller ett myndighetsbeslut ska nätinnehavaren verkställa ändringen från den dag då ändringen eller beslutet trädde i kraft. Ändringen kan även verkställas vid en senare tidpunkt som nätinnehavaren bestämmer, om det inte är fråga om en ändring till kundens fördel. Nätinnehavaren ska snarast möjligt meddela om ändringar som görs på dessa grunder.</w:t>
      </w:r>
    </w:p>
    <w:p w14:paraId="3EE13D29" w14:textId="77777777" w:rsidR="00301B5F" w:rsidRPr="00E24F9C" w:rsidRDefault="00301B5F" w:rsidP="00301B5F">
      <w:pPr>
        <w:pStyle w:val="Leipteksti24"/>
        <w:tabs>
          <w:tab w:val="clear" w:pos="-1620"/>
        </w:tabs>
        <w:spacing w:after="0"/>
        <w:ind w:left="1134"/>
        <w:outlineLvl w:val="1"/>
        <w:rPr>
          <w:rFonts w:ascii="Calibri" w:hAnsi="Calibri" w:cs="Calibri"/>
          <w:sz w:val="22"/>
          <w:szCs w:val="22"/>
          <w:lang w:val="sv-FI"/>
        </w:rPr>
      </w:pPr>
    </w:p>
    <w:p w14:paraId="7C2E5DCF" w14:textId="0FD5F2CB" w:rsidR="0033395A" w:rsidRPr="00E24F9C" w:rsidRDefault="00B63006"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lang w:val="sv-FI"/>
        </w:rPr>
      </w:pPr>
      <w:r>
        <w:rPr>
          <w:rFonts w:asciiTheme="majorHAnsi" w:hAnsiTheme="majorHAnsi" w:cstheme="majorHAnsi"/>
          <w:szCs w:val="28"/>
          <w:lang w:val="sv"/>
        </w:rPr>
        <w:t xml:space="preserve">  </w:t>
      </w:r>
      <w:bookmarkStart w:id="24" w:name="_Toc27580316"/>
      <w:r>
        <w:rPr>
          <w:rFonts w:asciiTheme="majorHAnsi" w:hAnsiTheme="majorHAnsi" w:cstheme="majorHAnsi"/>
          <w:szCs w:val="28"/>
          <w:lang w:val="sv"/>
        </w:rPr>
        <w:t>Upphörande av gasanslutningsavtal och följderna av upphörandet</w:t>
      </w:r>
      <w:bookmarkEnd w:id="24"/>
    </w:p>
    <w:p w14:paraId="19D1D3F3" w14:textId="7C82F1D4" w:rsidR="0033395A" w:rsidRPr="00E24F9C" w:rsidRDefault="00440D43"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Distributionsnätsinnehavaren har inte rätt att säga upp anslutningsavtalet. Kunden kan säga upp avtalet, när gasförsäljningsavtalet och gasnättjänstavtalet för driftsstället i fråga inte är i kraft. Nätinnehavaren kontrollerar gasförsäljningsavtalets och gasnättjänstavtalets giltighet när anslutningsavtalet sägs upp. Uppsägningstiden är en månad. Om anslutningens innehavare är en konsument får uppsägningstiden inte vara längre än två veckor.</w:t>
      </w:r>
    </w:p>
    <w:p w14:paraId="21BCCD99" w14:textId="17D3D9A4"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sz w:val="22"/>
          <w:szCs w:val="22"/>
          <w:lang w:val="sv"/>
        </w:rPr>
        <w:t>Trots uppsägningen kan nätinnehavaren fortsättningsvis på överenskommet sätt hålla</w:t>
      </w:r>
      <w:r>
        <w:rPr>
          <w:lang w:val="sv"/>
        </w:rPr>
        <w:t xml:space="preserve"> i kraft r</w:t>
      </w:r>
      <w:r>
        <w:rPr>
          <w:rFonts w:ascii="Calibri" w:hAnsi="Calibri"/>
          <w:sz w:val="22"/>
          <w:szCs w:val="22"/>
          <w:lang w:val="sv"/>
        </w:rPr>
        <w:t xml:space="preserve">ättigheter som gäller distributionsrörsystem som byggts för andra fastigheter. Nätinnehavaren betalar då en skälig ersättning för de rättigheter som nämns i punkt </w:t>
      </w:r>
      <w:r>
        <w:rPr>
          <w:lang w:val="sv"/>
        </w:rPr>
        <w:fldChar w:fldCharType="begin"/>
      </w:r>
      <w:r>
        <w:rPr>
          <w:rFonts w:ascii="Calibri" w:hAnsi="Calibri"/>
          <w:sz w:val="22"/>
          <w:szCs w:val="22"/>
          <w:lang w:val="sv"/>
        </w:rPr>
        <w:instrText xml:space="preserve"> REF _Ref332628109 \r \h  \* MERGEFORMAT </w:instrText>
      </w:r>
      <w:r>
        <w:rPr>
          <w:lang w:val="sv"/>
        </w:rPr>
      </w:r>
      <w:r>
        <w:rPr>
          <w:sz w:val="22"/>
          <w:szCs w:val="22"/>
          <w:lang w:val="sv"/>
        </w:rPr>
        <w:fldChar w:fldCharType="separate"/>
      </w:r>
      <w:r>
        <w:rPr>
          <w:rFonts w:ascii="Calibri" w:hAnsi="Calibri"/>
          <w:sz w:val="22"/>
          <w:szCs w:val="22"/>
          <w:lang w:val="sv"/>
        </w:rPr>
        <w:t>6.2</w:t>
      </w:r>
      <w:r>
        <w:rPr>
          <w:lang w:val="sv"/>
        </w:rPr>
        <w:fldChar w:fldCharType="end"/>
      </w:r>
      <w:r>
        <w:rPr>
          <w:rFonts w:ascii="Calibri" w:hAnsi="Calibri"/>
          <w:sz w:val="22"/>
          <w:szCs w:val="22"/>
          <w:lang w:val="sv"/>
        </w:rPr>
        <w:t xml:space="preserve">, ifall någon ersättning inte har betalats tidigare. </w:t>
      </w:r>
    </w:p>
    <w:p w14:paraId="63282286" w14:textId="77777777"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Nätinnehavaren kan häva gasanslutningsavtalet med omedelbar verkan, om </w:t>
      </w:r>
    </w:p>
    <w:p w14:paraId="15C15483" w14:textId="77777777" w:rsidR="0033395A" w:rsidRPr="00E24F9C" w:rsidRDefault="0033395A" w:rsidP="00DF4FE8">
      <w:pPr>
        <w:pStyle w:val="Leipteksti24"/>
        <w:numPr>
          <w:ilvl w:val="2"/>
          <w:numId w:val="4"/>
        </w:numPr>
        <w:tabs>
          <w:tab w:val="clear" w:pos="-1800"/>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en kund som inte är en konsument försätts i konkurs och konkursboet inte förbinder sig till gasanslutningsavtalet eller om kunden av myndigheterna har förklarats oförmögen att fullgöra sina skyldigheter enligt avtalet; </w:t>
      </w:r>
    </w:p>
    <w:p w14:paraId="34D3D34C" w14:textId="2A9C4AA0" w:rsidR="0033395A" w:rsidRPr="00E24F9C" w:rsidRDefault="0033395A" w:rsidP="00DF4FE8">
      <w:pPr>
        <w:pStyle w:val="Leipteksti24"/>
        <w:numPr>
          <w:ilvl w:val="2"/>
          <w:numId w:val="4"/>
        </w:numPr>
        <w:tabs>
          <w:tab w:val="clear" w:pos="-1800"/>
          <w:tab w:val="clear" w:pos="-1620"/>
        </w:tabs>
        <w:spacing w:before="120"/>
        <w:ind w:left="2609" w:hanging="1191"/>
        <w:rPr>
          <w:rFonts w:ascii="Calibri" w:hAnsi="Calibri" w:cs="Calibri"/>
          <w:sz w:val="22"/>
          <w:szCs w:val="22"/>
          <w:lang w:val="sv-FI"/>
        </w:rPr>
      </w:pPr>
      <w:r>
        <w:rPr>
          <w:rFonts w:ascii="Calibri" w:hAnsi="Calibri" w:cs="Calibri"/>
          <w:sz w:val="22"/>
          <w:szCs w:val="22"/>
          <w:lang w:val="sv"/>
        </w:rPr>
        <w:t>kunden annars i väsentlig grad har försummat sina skyldigheter enligt gasanslutningsavtalet och avtalsförsummelsen inte har rättats till inom en skälig tidsfrist som nätinnehavaren skriftligen har ställt.</w:t>
      </w:r>
    </w:p>
    <w:p w14:paraId="3D5DDCCE" w14:textId="61416FE9"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lastRenderedPageBreak/>
        <w:t>När ett tidsbundet gasanslutningsavtal upphör upphör också gasnättjänsten för det gasdriftsställe som anges i gasanslutningsavtalet.</w:t>
      </w:r>
    </w:p>
    <w:p w14:paraId="54ECAEA4" w14:textId="70C2235F"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 xml:space="preserve">Kunden betalar skäliga kostnader för nedmontering av anslutningen och frånkoppling av kunden från gasdistributionsnätet. </w:t>
      </w:r>
    </w:p>
    <w:p w14:paraId="16F4A152" w14:textId="62D3FA4E" w:rsidR="0033395A"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Nätinnehavaren återbetalar den återbetalbara anslutningsavgiften till kunden.</w:t>
      </w:r>
    </w:p>
    <w:p w14:paraId="41DD952A" w14:textId="77777777" w:rsidR="0033395A" w:rsidRPr="00E24F9C" w:rsidRDefault="0033395A" w:rsidP="00DF4FE8">
      <w:pPr>
        <w:pStyle w:val="Leipteksti24"/>
        <w:numPr>
          <w:ilvl w:val="2"/>
          <w:numId w:val="1"/>
        </w:numPr>
        <w:tabs>
          <w:tab w:val="clear" w:pos="-1620"/>
        </w:tabs>
        <w:spacing w:before="120"/>
        <w:ind w:left="2609" w:hanging="1191"/>
        <w:rPr>
          <w:rFonts w:ascii="Calibri" w:hAnsi="Calibri" w:cs="Calibri"/>
          <w:sz w:val="22"/>
          <w:szCs w:val="22"/>
          <w:lang w:val="sv-FI"/>
        </w:rPr>
      </w:pPr>
      <w:r>
        <w:rPr>
          <w:rFonts w:ascii="Calibri" w:hAnsi="Calibri" w:cs="Calibri"/>
          <w:sz w:val="22"/>
          <w:szCs w:val="22"/>
          <w:lang w:val="sv"/>
        </w:rPr>
        <w:t xml:space="preserve">Nätinnehavaren har rätt att kvitta sina förfallna fordringar på kunden mot den anslutningsavgift som eventuellt återbetalas. Vidare har nätinnehavaren rätt att från beloppet av den anslutningsavgift som återbetalas dra av skäliga kostnader som föranletts eller föranleds av eventuell nedmontering av anslutningen och frånkoppling av kunden från gasdistributionsnätet. </w:t>
      </w:r>
    </w:p>
    <w:p w14:paraId="728B8674" w14:textId="424E0F60" w:rsidR="00301B5F" w:rsidRPr="00E24F9C" w:rsidRDefault="0033395A" w:rsidP="00DF4FE8">
      <w:pPr>
        <w:pStyle w:val="Leipteksti24"/>
        <w:numPr>
          <w:ilvl w:val="1"/>
          <w:numId w:val="1"/>
        </w:numPr>
        <w:tabs>
          <w:tab w:val="clear" w:pos="-1620"/>
        </w:tabs>
        <w:spacing w:before="120"/>
        <w:ind w:left="1304" w:hanging="737"/>
        <w:rPr>
          <w:rFonts w:ascii="Calibri" w:hAnsi="Calibri" w:cs="Calibri"/>
          <w:sz w:val="22"/>
          <w:szCs w:val="22"/>
          <w:lang w:val="sv-FI"/>
        </w:rPr>
      </w:pPr>
      <w:r>
        <w:rPr>
          <w:rFonts w:ascii="Calibri" w:hAnsi="Calibri" w:cs="Calibri"/>
          <w:sz w:val="22"/>
          <w:szCs w:val="22"/>
          <w:lang w:val="sv"/>
        </w:rPr>
        <w:t>Nätinnehavaren har i enlighet med de allmänna bestämmelserna om kvittning rätt att kvitta sina förfallna fordringar på kunden mot en säkerhet som ska återbetalas eller mot kundens övriga fordringar på nätinnehavaren. Nätinnehavaren har således rätt att från beloppet av den eventuella säkerhet som ska återbetalas eller från kundens övriga fordringar dra av kostnaderna som föranletts eller föranleds av nedmontering av anslutningsledningen och andra gasanläggningar som är nödvändiga för gasförbrukningen samt frånkoppling av kunden från nätet.</w:t>
      </w:r>
      <w:r>
        <w:rPr>
          <w:rFonts w:ascii="Calibri" w:hAnsi="Calibri" w:cs="Calibri"/>
          <w:sz w:val="22"/>
          <w:szCs w:val="22"/>
          <w:lang w:val="sv"/>
        </w:rPr>
        <w:br/>
      </w:r>
    </w:p>
    <w:p w14:paraId="41783F03" w14:textId="444C4299" w:rsidR="0033395A" w:rsidRPr="00301B5F" w:rsidRDefault="00B63006" w:rsidP="0033395A">
      <w:pPr>
        <w:pStyle w:val="Otsikko1"/>
        <w:numPr>
          <w:ilvl w:val="0"/>
          <w:numId w:val="1"/>
        </w:numPr>
        <w:tabs>
          <w:tab w:val="left" w:pos="-1296"/>
          <w:tab w:val="left" w:pos="0"/>
          <w:tab w:val="left" w:pos="1296"/>
          <w:tab w:val="left" w:pos="2592"/>
          <w:tab w:val="left" w:pos="3888"/>
          <w:tab w:val="left" w:pos="5184"/>
          <w:tab w:val="left" w:pos="6480"/>
          <w:tab w:val="left" w:pos="7776"/>
          <w:tab w:val="left" w:pos="8784"/>
        </w:tabs>
        <w:suppressAutoHyphens/>
        <w:spacing w:before="120" w:after="120"/>
        <w:rPr>
          <w:rFonts w:asciiTheme="majorHAnsi" w:hAnsiTheme="majorHAnsi" w:cstheme="majorHAnsi"/>
          <w:szCs w:val="28"/>
        </w:rPr>
      </w:pPr>
      <w:r>
        <w:rPr>
          <w:rFonts w:asciiTheme="majorHAnsi" w:hAnsiTheme="majorHAnsi" w:cstheme="majorHAnsi"/>
          <w:szCs w:val="28"/>
          <w:lang w:val="sv"/>
        </w:rPr>
        <w:t xml:space="preserve">  </w:t>
      </w:r>
      <w:bookmarkStart w:id="25" w:name="_Toc27580317"/>
      <w:r>
        <w:rPr>
          <w:rFonts w:asciiTheme="majorHAnsi" w:hAnsiTheme="majorHAnsi" w:cstheme="majorHAnsi"/>
          <w:szCs w:val="28"/>
          <w:lang w:val="sv"/>
        </w:rPr>
        <w:t>Avgörande av tvister</w:t>
      </w:r>
      <w:bookmarkEnd w:id="25"/>
    </w:p>
    <w:p w14:paraId="3D1637B9" w14:textId="257FF9F9" w:rsidR="0033395A" w:rsidRPr="00E24F9C" w:rsidRDefault="0033395A" w:rsidP="00DF4FE8">
      <w:pPr>
        <w:pStyle w:val="Leipteksti24"/>
        <w:numPr>
          <w:ilvl w:val="1"/>
          <w:numId w:val="1"/>
        </w:numPr>
        <w:tabs>
          <w:tab w:val="clear" w:pos="-1620"/>
        </w:tabs>
        <w:spacing w:before="120"/>
        <w:ind w:left="1304" w:hanging="737"/>
        <w:rPr>
          <w:rFonts w:asciiTheme="minorHAnsi" w:hAnsiTheme="minorHAnsi" w:cstheme="minorHAnsi"/>
          <w:sz w:val="22"/>
          <w:szCs w:val="22"/>
          <w:lang w:val="sv-FI"/>
        </w:rPr>
      </w:pPr>
      <w:r>
        <w:rPr>
          <w:rFonts w:asciiTheme="minorHAnsi" w:hAnsiTheme="minorHAnsi" w:cstheme="minorHAnsi"/>
          <w:sz w:val="22"/>
          <w:szCs w:val="22"/>
          <w:lang w:val="sv"/>
        </w:rPr>
        <w:t>En konsument har rätt att föra meningsskiljaktigheter om tolkningen av gasanslutningsavtalet till konsumenttvistenämnden för behandling (</w:t>
      </w:r>
      <w:hyperlink r:id="rId11" w:history="1">
        <w:r>
          <w:rPr>
            <w:rStyle w:val="Hyperlinkki"/>
            <w:rFonts w:asciiTheme="minorHAnsi" w:hAnsiTheme="minorHAnsi" w:cstheme="minorHAnsi"/>
            <w:sz w:val="22"/>
            <w:szCs w:val="22"/>
            <w:u w:val="none"/>
            <w:lang w:val="sv"/>
          </w:rPr>
          <w:t>www.kuluttajariita.fi</w:t>
        </w:r>
      </w:hyperlink>
      <w:r>
        <w:rPr>
          <w:rFonts w:asciiTheme="minorHAnsi" w:hAnsiTheme="minorHAnsi" w:cstheme="minorHAnsi"/>
          <w:sz w:val="22"/>
          <w:szCs w:val="22"/>
          <w:lang w:val="sv"/>
        </w:rPr>
        <w:t>). Innan begäran om avgörande lämnas till konsumenttvistenämnden bör konsumenten kontakta konsumentrådgivningen (</w:t>
      </w:r>
      <w:hyperlink r:id="rId12" w:history="1">
        <w:r>
          <w:rPr>
            <w:rStyle w:val="Hyperlinkki"/>
            <w:rFonts w:asciiTheme="minorHAnsi" w:hAnsiTheme="minorHAnsi" w:cstheme="minorHAnsi"/>
            <w:sz w:val="22"/>
            <w:szCs w:val="22"/>
            <w:lang w:val="sv"/>
          </w:rPr>
          <w:t>www.konsumentrådgivning.fi</w:t>
        </w:r>
      </w:hyperlink>
      <w:r>
        <w:rPr>
          <w:rFonts w:asciiTheme="minorHAnsi" w:hAnsiTheme="minorHAnsi" w:cstheme="minorHAnsi"/>
          <w:sz w:val="22"/>
          <w:szCs w:val="22"/>
          <w:lang w:val="sv"/>
        </w:rPr>
        <w:t>).</w:t>
      </w:r>
    </w:p>
    <w:p w14:paraId="186481B0" w14:textId="77777777" w:rsidR="0033395A" w:rsidRPr="00E24F9C" w:rsidRDefault="0033395A" w:rsidP="00DF4FE8">
      <w:pPr>
        <w:pStyle w:val="Leipteksti24"/>
        <w:numPr>
          <w:ilvl w:val="1"/>
          <w:numId w:val="1"/>
        </w:numPr>
        <w:tabs>
          <w:tab w:val="clear" w:pos="-1620"/>
        </w:tabs>
        <w:spacing w:before="120"/>
        <w:ind w:left="1304" w:hanging="737"/>
        <w:rPr>
          <w:rFonts w:asciiTheme="minorHAnsi" w:hAnsiTheme="minorHAnsi" w:cstheme="minorHAnsi"/>
          <w:sz w:val="22"/>
          <w:szCs w:val="22"/>
          <w:lang w:val="sv-FI"/>
        </w:rPr>
      </w:pPr>
      <w:r>
        <w:rPr>
          <w:rFonts w:asciiTheme="minorHAnsi" w:hAnsiTheme="minorHAnsi" w:cstheme="minorHAnsi"/>
          <w:sz w:val="22"/>
          <w:szCs w:val="22"/>
          <w:lang w:val="sv"/>
        </w:rPr>
        <w:t>Strävan är att i första hand lösa tvister genom förhandlingar. På detta avtal tillämpas finsk lag. Om meningsskiljaktigheterna om ett gasanslutningsavtal avgörs i domstol, väcks talan vid tingsrätten på den ort där anslutningen är belägen, om inte annat har överenskommits. En konsument har dock alltid rätt att väcka talan vid tingsrätten på sin hemort i Finland.</w:t>
      </w:r>
    </w:p>
    <w:p w14:paraId="62CFE95E" w14:textId="77777777" w:rsidR="00A040D1" w:rsidRPr="00E24F9C" w:rsidRDefault="00A040D1" w:rsidP="0033395A">
      <w:pPr>
        <w:rPr>
          <w:rFonts w:ascii="Calibri" w:hAnsi="Calibri" w:cs="Calibri"/>
          <w:sz w:val="22"/>
          <w:szCs w:val="22"/>
          <w:lang w:val="sv-FI"/>
        </w:rPr>
      </w:pPr>
    </w:p>
    <w:sectPr w:rsidR="00A040D1" w:rsidRPr="00E24F9C" w:rsidSect="00C14381">
      <w:headerReference w:type="default" r:id="rId13"/>
      <w:headerReference w:type="first" r:id="rId14"/>
      <w:footerReference w:type="first" r:id="rId15"/>
      <w:pgSz w:w="11906" w:h="16838" w:code="9"/>
      <w:pgMar w:top="1134" w:right="1134" w:bottom="1134" w:left="1134" w:header="709" w:footer="567" w:gutter="0"/>
      <w:pgNumType w:start="0" w:chapStyle="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02E2C" w14:textId="77777777" w:rsidR="00F90447" w:rsidRDefault="00F90447">
      <w:r>
        <w:separator/>
      </w:r>
    </w:p>
  </w:endnote>
  <w:endnote w:type="continuationSeparator" w:id="0">
    <w:p w14:paraId="151BBD87" w14:textId="77777777" w:rsidR="00F90447" w:rsidRDefault="00F90447">
      <w:r>
        <w:continuationSeparator/>
      </w:r>
    </w:p>
  </w:endnote>
  <w:endnote w:type="continuationNotice" w:id="1">
    <w:p w14:paraId="68AD6725" w14:textId="77777777" w:rsidR="00F90447" w:rsidRDefault="00F90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72B06" w14:textId="77777777" w:rsidR="004618C6" w:rsidRPr="00E24F9C" w:rsidRDefault="004618C6" w:rsidP="00397716">
    <w:pPr>
      <w:pStyle w:val="Alatunniste"/>
      <w:rPr>
        <w:rFonts w:ascii="Calibri" w:hAnsi="Calibri" w:cs="Calibri"/>
        <w:b/>
        <w:sz w:val="22"/>
        <w:szCs w:val="22"/>
        <w:lang w:val="sv-FI"/>
      </w:rPr>
    </w:pPr>
    <w:r>
      <w:rPr>
        <w:rFonts w:ascii="Calibri" w:hAnsi="Calibri" w:cs="Calibri"/>
        <w:b/>
        <w:bCs/>
        <w:sz w:val="22"/>
        <w:szCs w:val="22"/>
        <w:lang w:val="sv"/>
      </w:rPr>
      <w:t xml:space="preserve">Finsk Energiindustri rf </w:t>
    </w:r>
  </w:p>
  <w:p w14:paraId="4E9A72E0" w14:textId="77777777" w:rsidR="00397716" w:rsidRPr="00E24F9C" w:rsidRDefault="00397716" w:rsidP="00397716">
    <w:pPr>
      <w:pStyle w:val="Alatunniste"/>
      <w:rPr>
        <w:rFonts w:ascii="Calibri" w:hAnsi="Calibri" w:cs="Calibri"/>
        <w:sz w:val="22"/>
        <w:szCs w:val="22"/>
        <w:lang w:val="sv-FI"/>
      </w:rPr>
    </w:pPr>
    <w:bookmarkStart w:id="26" w:name="_Hlk506534832"/>
    <w:r>
      <w:rPr>
        <w:rFonts w:ascii="Calibri" w:hAnsi="Calibri" w:cs="Calibri"/>
        <w:sz w:val="22"/>
        <w:szCs w:val="22"/>
        <w:lang w:val="sv"/>
      </w:rPr>
      <w:t xml:space="preserve">Södra kajen 10, 00130 Helsingfors </w:t>
    </w:r>
  </w:p>
  <w:bookmarkEnd w:id="26"/>
  <w:p w14:paraId="1635D238" w14:textId="77777777" w:rsidR="004618C6" w:rsidRPr="007F1524" w:rsidRDefault="004618C6" w:rsidP="00087049">
    <w:pPr>
      <w:pStyle w:val="Alatunniste"/>
      <w:rPr>
        <w:rFonts w:ascii="Calibri" w:hAnsi="Calibri" w:cs="Calibri"/>
        <w:sz w:val="22"/>
        <w:szCs w:val="22"/>
      </w:rPr>
    </w:pPr>
    <w:r>
      <w:rPr>
        <w:rFonts w:ascii="Calibri" w:hAnsi="Calibri" w:cs="Calibri"/>
        <w:sz w:val="22"/>
        <w:szCs w:val="22"/>
        <w:lang w:val="sv"/>
      </w:rPr>
      <w:t>www.energia.fi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9D3DA" w14:textId="77777777" w:rsidR="00F90447" w:rsidRDefault="00F90447">
      <w:r>
        <w:separator/>
      </w:r>
    </w:p>
  </w:footnote>
  <w:footnote w:type="continuationSeparator" w:id="0">
    <w:p w14:paraId="7B04F318" w14:textId="77777777" w:rsidR="00F90447" w:rsidRDefault="00F90447">
      <w:r>
        <w:continuationSeparator/>
      </w:r>
    </w:p>
  </w:footnote>
  <w:footnote w:type="continuationNotice" w:id="1">
    <w:p w14:paraId="728FACCA" w14:textId="77777777" w:rsidR="00F90447" w:rsidRDefault="00F904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713524"/>
      <w:docPartObj>
        <w:docPartGallery w:val="Page Numbers (Top of Page)"/>
        <w:docPartUnique/>
      </w:docPartObj>
    </w:sdtPr>
    <w:sdtEndPr/>
    <w:sdtContent>
      <w:p w14:paraId="6C147503" w14:textId="2F0D97F7" w:rsidR="00C14381" w:rsidRDefault="00C14381">
        <w:pPr>
          <w:pStyle w:val="Yltunniste"/>
          <w:jc w:val="right"/>
        </w:pPr>
        <w:r>
          <w:rPr>
            <w:lang w:val="sv"/>
          </w:rPr>
          <w:fldChar w:fldCharType="begin"/>
        </w:r>
        <w:r>
          <w:rPr>
            <w:lang w:val="sv"/>
          </w:rPr>
          <w:instrText>PAGE   \* MERGEFORMAT</w:instrText>
        </w:r>
        <w:r>
          <w:rPr>
            <w:lang w:val="sv"/>
          </w:rPr>
          <w:fldChar w:fldCharType="separate"/>
        </w:r>
        <w:r>
          <w:rPr>
            <w:lang w:val="sv"/>
          </w:rPr>
          <w:t>2</w:t>
        </w:r>
        <w:r>
          <w:rPr>
            <w:lang w:val="sv"/>
          </w:rPr>
          <w:fldChar w:fldCharType="end"/>
        </w:r>
      </w:p>
    </w:sdtContent>
  </w:sdt>
  <w:p w14:paraId="7A708718" w14:textId="77777777" w:rsidR="0033395A" w:rsidRDefault="0033395A" w:rsidP="004D6D01">
    <w:pPr>
      <w:pStyle w:val="Yltunniste"/>
      <w:tabs>
        <w:tab w:val="clear" w:pos="4819"/>
        <w:tab w:val="clear" w:pos="9638"/>
        <w:tab w:val="left" w:pos="3434"/>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Ind w:w="-38" w:type="dxa"/>
      <w:tblLayout w:type="fixed"/>
      <w:tblCellMar>
        <w:left w:w="70" w:type="dxa"/>
        <w:right w:w="70" w:type="dxa"/>
      </w:tblCellMar>
      <w:tblLook w:val="01E0" w:firstRow="1" w:lastRow="1" w:firstColumn="1" w:lastColumn="1" w:noHBand="0" w:noVBand="0"/>
    </w:tblPr>
    <w:tblGrid>
      <w:gridCol w:w="5190"/>
      <w:gridCol w:w="2289"/>
      <w:gridCol w:w="2694"/>
    </w:tblGrid>
    <w:tr w:rsidR="004618C6" w14:paraId="40003DEE" w14:textId="77777777" w:rsidTr="00473360">
      <w:trPr>
        <w:cantSplit/>
        <w:trHeight w:hRule="exact" w:val="300"/>
      </w:trPr>
      <w:tc>
        <w:tcPr>
          <w:tcW w:w="5190" w:type="dxa"/>
          <w:vMerge w:val="restart"/>
        </w:tcPr>
        <w:p w14:paraId="544B37CF" w14:textId="08D0EB3E" w:rsidR="004618C6" w:rsidRDefault="00A57932" w:rsidP="005B057F">
          <w:pPr>
            <w:pStyle w:val="Yltunniste"/>
          </w:pPr>
          <w:r>
            <w:rPr>
              <w:noProof/>
              <w:lang w:val="sv"/>
            </w:rPr>
            <w:drawing>
              <wp:inline distT="0" distB="0" distL="0" distR="0" wp14:anchorId="2035D591" wp14:editId="188386A3">
                <wp:extent cx="2028825" cy="447675"/>
                <wp:effectExtent l="0" t="0" r="0" b="0"/>
                <wp:docPr id="2" name="Kuva 2" descr="LA1_R3V9_Energiateolli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1_R3V9_Energiateolli_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447675"/>
                        </a:xfrm>
                        <a:prstGeom prst="rect">
                          <a:avLst/>
                        </a:prstGeom>
                        <a:noFill/>
                        <a:ln>
                          <a:noFill/>
                        </a:ln>
                      </pic:spPr>
                    </pic:pic>
                  </a:graphicData>
                </a:graphic>
              </wp:inline>
            </w:drawing>
          </w:r>
        </w:p>
      </w:tc>
      <w:tc>
        <w:tcPr>
          <w:tcW w:w="4983" w:type="dxa"/>
          <w:gridSpan w:val="2"/>
        </w:tcPr>
        <w:p w14:paraId="64A8EFB1" w14:textId="77777777" w:rsidR="004618C6" w:rsidRDefault="004618C6" w:rsidP="005B057F">
          <w:pPr>
            <w:pStyle w:val="Yltunniste"/>
          </w:pPr>
        </w:p>
      </w:tc>
    </w:tr>
    <w:tr w:rsidR="004618C6" w14:paraId="50648915" w14:textId="77777777" w:rsidTr="00473360">
      <w:trPr>
        <w:cantSplit/>
        <w:trHeight w:hRule="exact" w:val="220"/>
      </w:trPr>
      <w:tc>
        <w:tcPr>
          <w:tcW w:w="5190" w:type="dxa"/>
          <w:vMerge/>
        </w:tcPr>
        <w:p w14:paraId="12C83CE0" w14:textId="77777777" w:rsidR="004618C6" w:rsidRDefault="004618C6" w:rsidP="005B057F">
          <w:pPr>
            <w:pStyle w:val="Yltunniste"/>
          </w:pPr>
        </w:p>
      </w:tc>
      <w:tc>
        <w:tcPr>
          <w:tcW w:w="2289" w:type="dxa"/>
        </w:tcPr>
        <w:p w14:paraId="26D42A2E" w14:textId="77777777" w:rsidR="004618C6" w:rsidRPr="007F1524" w:rsidRDefault="004618C6" w:rsidP="005B057F">
          <w:pPr>
            <w:pStyle w:val="Yltunniste"/>
            <w:rPr>
              <w:rFonts w:ascii="Calibri" w:hAnsi="Calibri" w:cs="Calibri"/>
              <w:sz w:val="22"/>
              <w:szCs w:val="22"/>
            </w:rPr>
          </w:pPr>
        </w:p>
      </w:tc>
      <w:tc>
        <w:tcPr>
          <w:tcW w:w="2694" w:type="dxa"/>
          <w:vMerge w:val="restart"/>
        </w:tcPr>
        <w:p w14:paraId="3462E128" w14:textId="77777777" w:rsidR="004618C6" w:rsidRPr="007F1524" w:rsidRDefault="004618C6" w:rsidP="005B057F">
          <w:pPr>
            <w:pStyle w:val="Yltunniste"/>
            <w:rPr>
              <w:rFonts w:ascii="Calibri" w:hAnsi="Calibri" w:cs="Calibri"/>
              <w:sz w:val="22"/>
              <w:szCs w:val="22"/>
            </w:rPr>
          </w:pPr>
        </w:p>
      </w:tc>
    </w:tr>
    <w:tr w:rsidR="004618C6" w14:paraId="3EE181BE" w14:textId="77777777" w:rsidTr="00473360">
      <w:trPr>
        <w:cantSplit/>
        <w:trHeight w:hRule="exact" w:val="220"/>
      </w:trPr>
      <w:tc>
        <w:tcPr>
          <w:tcW w:w="5190" w:type="dxa"/>
          <w:vMerge/>
        </w:tcPr>
        <w:p w14:paraId="3BEBC465" w14:textId="77777777" w:rsidR="004618C6" w:rsidRDefault="004618C6" w:rsidP="005B057F">
          <w:pPr>
            <w:pStyle w:val="Yltunniste"/>
          </w:pPr>
        </w:p>
      </w:tc>
      <w:tc>
        <w:tcPr>
          <w:tcW w:w="2289" w:type="dxa"/>
        </w:tcPr>
        <w:p w14:paraId="5EDA2165" w14:textId="77777777" w:rsidR="004618C6" w:rsidRPr="007F1524" w:rsidRDefault="004618C6" w:rsidP="005B057F">
          <w:pPr>
            <w:pStyle w:val="Yltunniste"/>
            <w:rPr>
              <w:rFonts w:ascii="Calibri" w:hAnsi="Calibri" w:cs="Calibri"/>
              <w:sz w:val="22"/>
              <w:szCs w:val="22"/>
            </w:rPr>
          </w:pPr>
        </w:p>
      </w:tc>
      <w:tc>
        <w:tcPr>
          <w:tcW w:w="2694" w:type="dxa"/>
          <w:vMerge/>
        </w:tcPr>
        <w:p w14:paraId="713FFD33" w14:textId="77777777" w:rsidR="004618C6" w:rsidRPr="007F1524" w:rsidRDefault="004618C6" w:rsidP="005B057F">
          <w:pPr>
            <w:pStyle w:val="Yltunniste"/>
            <w:rPr>
              <w:rFonts w:ascii="Calibri" w:hAnsi="Calibri" w:cs="Calibri"/>
              <w:sz w:val="22"/>
              <w:szCs w:val="22"/>
            </w:rPr>
          </w:pPr>
        </w:p>
      </w:tc>
    </w:tr>
    <w:tr w:rsidR="004618C6" w14:paraId="322AB646" w14:textId="77777777" w:rsidTr="00473360">
      <w:trPr>
        <w:cantSplit/>
        <w:trHeight w:hRule="exact" w:val="220"/>
      </w:trPr>
      <w:tc>
        <w:tcPr>
          <w:tcW w:w="5190" w:type="dxa"/>
          <w:vMerge/>
        </w:tcPr>
        <w:p w14:paraId="6C3B255F" w14:textId="77777777" w:rsidR="004618C6" w:rsidRDefault="004618C6" w:rsidP="005B057F">
          <w:pPr>
            <w:pStyle w:val="Yltunniste"/>
          </w:pPr>
        </w:p>
      </w:tc>
      <w:tc>
        <w:tcPr>
          <w:tcW w:w="2289" w:type="dxa"/>
        </w:tcPr>
        <w:p w14:paraId="34159510" w14:textId="77777777" w:rsidR="004618C6" w:rsidRPr="007F1524" w:rsidRDefault="004618C6" w:rsidP="005B057F">
          <w:pPr>
            <w:pStyle w:val="Yltunniste"/>
            <w:rPr>
              <w:rFonts w:ascii="Calibri" w:hAnsi="Calibri" w:cs="Calibri"/>
              <w:sz w:val="22"/>
              <w:szCs w:val="22"/>
            </w:rPr>
          </w:pPr>
        </w:p>
      </w:tc>
      <w:tc>
        <w:tcPr>
          <w:tcW w:w="2694" w:type="dxa"/>
        </w:tcPr>
        <w:p w14:paraId="3B0461DA" w14:textId="77777777" w:rsidR="004618C6" w:rsidRPr="007F1524" w:rsidRDefault="004618C6" w:rsidP="005B057F">
          <w:pPr>
            <w:pStyle w:val="Yltunniste"/>
            <w:rPr>
              <w:rFonts w:ascii="Calibri" w:hAnsi="Calibri" w:cs="Calibri"/>
              <w:sz w:val="22"/>
              <w:szCs w:val="22"/>
            </w:rPr>
          </w:pPr>
        </w:p>
      </w:tc>
    </w:tr>
    <w:tr w:rsidR="004618C6" w14:paraId="1B2F9A1C" w14:textId="77777777" w:rsidTr="00473360">
      <w:trPr>
        <w:trHeight w:hRule="exact" w:val="400"/>
      </w:trPr>
      <w:tc>
        <w:tcPr>
          <w:tcW w:w="10173" w:type="dxa"/>
          <w:gridSpan w:val="3"/>
        </w:tcPr>
        <w:p w14:paraId="2B9F593F" w14:textId="77777777" w:rsidR="004618C6" w:rsidRPr="007F1524" w:rsidRDefault="004618C6" w:rsidP="005B057F">
          <w:pPr>
            <w:pStyle w:val="Yltunniste"/>
            <w:rPr>
              <w:rFonts w:ascii="Calibri" w:hAnsi="Calibri" w:cs="Calibri"/>
              <w:sz w:val="22"/>
              <w:szCs w:val="22"/>
            </w:rPr>
          </w:pPr>
        </w:p>
      </w:tc>
    </w:tr>
  </w:tbl>
  <w:p w14:paraId="0C37DDF2" w14:textId="77777777" w:rsidR="0033395A" w:rsidRDefault="0033395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5DB4"/>
    <w:multiLevelType w:val="multilevel"/>
    <w:tmpl w:val="29F87D1C"/>
    <w:lvl w:ilvl="0">
      <w:start w:val="11"/>
      <w:numFmt w:val="decimal"/>
      <w:lvlText w:val="%1"/>
      <w:lvlJc w:val="left"/>
      <w:pPr>
        <w:ind w:left="540" w:hanging="540"/>
      </w:pPr>
      <w:rPr>
        <w:rFonts w:hint="default"/>
      </w:rPr>
    </w:lvl>
    <w:lvl w:ilvl="1">
      <w:start w:val="3"/>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15:restartNumberingAfterBreak="0">
    <w:nsid w:val="585A4BAA"/>
    <w:multiLevelType w:val="multilevel"/>
    <w:tmpl w:val="6FB2A014"/>
    <w:lvl w:ilvl="0">
      <w:start w:val="1"/>
      <w:numFmt w:val="decimal"/>
      <w:lvlText w:val="%1."/>
      <w:lvlJc w:val="left"/>
      <w:pPr>
        <w:ind w:left="518" w:hanging="360"/>
      </w:pPr>
    </w:lvl>
    <w:lvl w:ilvl="1">
      <w:start w:val="1"/>
      <w:numFmt w:val="none"/>
      <w:lvlText w:val="o"/>
      <w:legacy w:legacy="1" w:legacySpace="120" w:legacyIndent="360"/>
      <w:lvlJc w:val="left"/>
      <w:pPr>
        <w:ind w:left="878" w:hanging="360"/>
      </w:pPr>
      <w:rPr>
        <w:rFonts w:ascii="Courier New" w:hAnsi="Courier New" w:cs="Courier New" w:hint="default"/>
      </w:rPr>
    </w:lvl>
    <w:lvl w:ilvl="2">
      <w:start w:val="1"/>
      <w:numFmt w:val="none"/>
      <w:lvlText w:val=""/>
      <w:legacy w:legacy="1" w:legacySpace="120" w:legacyIndent="360"/>
      <w:lvlJc w:val="left"/>
      <w:pPr>
        <w:ind w:left="1238" w:hanging="360"/>
      </w:pPr>
      <w:rPr>
        <w:rFonts w:ascii="Wingdings" w:hAnsi="Wingdings" w:hint="default"/>
      </w:rPr>
    </w:lvl>
    <w:lvl w:ilvl="3">
      <w:start w:val="1"/>
      <w:numFmt w:val="none"/>
      <w:lvlText w:val=""/>
      <w:legacy w:legacy="1" w:legacySpace="120" w:legacyIndent="360"/>
      <w:lvlJc w:val="left"/>
      <w:pPr>
        <w:ind w:left="1598" w:hanging="360"/>
      </w:pPr>
      <w:rPr>
        <w:rFonts w:ascii="Symbol" w:hAnsi="Symbol" w:hint="default"/>
      </w:rPr>
    </w:lvl>
    <w:lvl w:ilvl="4">
      <w:start w:val="1"/>
      <w:numFmt w:val="none"/>
      <w:lvlText w:val="o"/>
      <w:legacy w:legacy="1" w:legacySpace="120" w:legacyIndent="360"/>
      <w:lvlJc w:val="left"/>
      <w:pPr>
        <w:ind w:left="1958" w:hanging="360"/>
      </w:pPr>
      <w:rPr>
        <w:rFonts w:ascii="Courier New" w:hAnsi="Courier New" w:cs="Courier New" w:hint="default"/>
      </w:rPr>
    </w:lvl>
    <w:lvl w:ilvl="5">
      <w:start w:val="1"/>
      <w:numFmt w:val="none"/>
      <w:lvlText w:val=""/>
      <w:legacy w:legacy="1" w:legacySpace="120" w:legacyIndent="360"/>
      <w:lvlJc w:val="left"/>
      <w:pPr>
        <w:ind w:left="2318" w:hanging="360"/>
      </w:pPr>
      <w:rPr>
        <w:rFonts w:ascii="Wingdings" w:hAnsi="Wingdings" w:hint="default"/>
      </w:rPr>
    </w:lvl>
    <w:lvl w:ilvl="6">
      <w:start w:val="1"/>
      <w:numFmt w:val="none"/>
      <w:lvlText w:val=""/>
      <w:legacy w:legacy="1" w:legacySpace="120" w:legacyIndent="360"/>
      <w:lvlJc w:val="left"/>
      <w:pPr>
        <w:ind w:left="2678" w:hanging="360"/>
      </w:pPr>
      <w:rPr>
        <w:rFonts w:ascii="Symbol" w:hAnsi="Symbol" w:hint="default"/>
      </w:rPr>
    </w:lvl>
    <w:lvl w:ilvl="7">
      <w:start w:val="1"/>
      <w:numFmt w:val="none"/>
      <w:lvlText w:val="o"/>
      <w:legacy w:legacy="1" w:legacySpace="120" w:legacyIndent="360"/>
      <w:lvlJc w:val="left"/>
      <w:pPr>
        <w:ind w:left="3038" w:hanging="360"/>
      </w:pPr>
      <w:rPr>
        <w:rFonts w:ascii="Courier New" w:hAnsi="Courier New" w:cs="Courier New" w:hint="default"/>
      </w:rPr>
    </w:lvl>
    <w:lvl w:ilvl="8">
      <w:start w:val="1"/>
      <w:numFmt w:val="none"/>
      <w:lvlText w:val=""/>
      <w:legacy w:legacy="1" w:legacySpace="120" w:legacyIndent="360"/>
      <w:lvlJc w:val="left"/>
      <w:pPr>
        <w:ind w:left="3398" w:hanging="360"/>
      </w:pPr>
      <w:rPr>
        <w:rFonts w:ascii="Wingdings" w:hAnsi="Wingdings" w:hint="default"/>
      </w:rPr>
    </w:lvl>
  </w:abstractNum>
  <w:abstractNum w:abstractNumId="2" w15:restartNumberingAfterBreak="0">
    <w:nsid w:val="5F587FD0"/>
    <w:multiLevelType w:val="multilevel"/>
    <w:tmpl w:val="DA407AFE"/>
    <w:lvl w:ilvl="0">
      <w:start w:val="3"/>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6B9F7506"/>
    <w:multiLevelType w:val="multilevel"/>
    <w:tmpl w:val="809665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DCD0EF2"/>
    <w:multiLevelType w:val="multilevel"/>
    <w:tmpl w:val="287458B2"/>
    <w:lvl w:ilvl="0">
      <w:start w:val="1"/>
      <w:numFmt w:val="decimal"/>
      <w:lvlText w:val="%1."/>
      <w:lvlJc w:val="left"/>
      <w:pPr>
        <w:tabs>
          <w:tab w:val="num" w:pos="720"/>
        </w:tabs>
        <w:ind w:left="720" w:hanging="720"/>
      </w:pPr>
    </w:lvl>
    <w:lvl w:ilvl="1">
      <w:start w:val="1"/>
      <w:numFmt w:val="decimal"/>
      <w:pStyle w:val="Leipteksti23"/>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1"/>
  </w:num>
  <w:num w:numId="4">
    <w:abstractNumId w:val="0"/>
  </w:num>
  <w:num w:numId="5">
    <w:abstractNumId w:val="4"/>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96"/>
    <w:rsid w:val="00003A25"/>
    <w:rsid w:val="0000689A"/>
    <w:rsid w:val="00014DCC"/>
    <w:rsid w:val="00020C1D"/>
    <w:rsid w:val="00021B89"/>
    <w:rsid w:val="000249E7"/>
    <w:rsid w:val="00051934"/>
    <w:rsid w:val="000548B9"/>
    <w:rsid w:val="00057E36"/>
    <w:rsid w:val="00063F9C"/>
    <w:rsid w:val="000802E1"/>
    <w:rsid w:val="000813A8"/>
    <w:rsid w:val="00087049"/>
    <w:rsid w:val="00087552"/>
    <w:rsid w:val="00087F43"/>
    <w:rsid w:val="000913F6"/>
    <w:rsid w:val="0009684B"/>
    <w:rsid w:val="00096A33"/>
    <w:rsid w:val="00097975"/>
    <w:rsid w:val="000A6027"/>
    <w:rsid w:val="000C259F"/>
    <w:rsid w:val="000C2BCB"/>
    <w:rsid w:val="000D00A3"/>
    <w:rsid w:val="000E0055"/>
    <w:rsid w:val="000E304F"/>
    <w:rsid w:val="000E5B68"/>
    <w:rsid w:val="000E6BD5"/>
    <w:rsid w:val="000E7ABC"/>
    <w:rsid w:val="0010135E"/>
    <w:rsid w:val="00102135"/>
    <w:rsid w:val="00106252"/>
    <w:rsid w:val="00110F56"/>
    <w:rsid w:val="00112C2F"/>
    <w:rsid w:val="001136EE"/>
    <w:rsid w:val="00115EAA"/>
    <w:rsid w:val="00123565"/>
    <w:rsid w:val="00124382"/>
    <w:rsid w:val="001305F3"/>
    <w:rsid w:val="001343ED"/>
    <w:rsid w:val="00136A19"/>
    <w:rsid w:val="00136F0E"/>
    <w:rsid w:val="00137197"/>
    <w:rsid w:val="00143C76"/>
    <w:rsid w:val="001500C5"/>
    <w:rsid w:val="001518D4"/>
    <w:rsid w:val="0015586C"/>
    <w:rsid w:val="0015682A"/>
    <w:rsid w:val="00161202"/>
    <w:rsid w:val="001662F0"/>
    <w:rsid w:val="001663CF"/>
    <w:rsid w:val="00173942"/>
    <w:rsid w:val="00180477"/>
    <w:rsid w:val="00187CCB"/>
    <w:rsid w:val="00187E07"/>
    <w:rsid w:val="00193A5E"/>
    <w:rsid w:val="0019680B"/>
    <w:rsid w:val="00196E9D"/>
    <w:rsid w:val="001B40D6"/>
    <w:rsid w:val="001B6A0B"/>
    <w:rsid w:val="001C2304"/>
    <w:rsid w:val="001D3D4E"/>
    <w:rsid w:val="001D50B4"/>
    <w:rsid w:val="001D7C32"/>
    <w:rsid w:val="001E0220"/>
    <w:rsid w:val="001E23EF"/>
    <w:rsid w:val="001E3F95"/>
    <w:rsid w:val="001F1BB3"/>
    <w:rsid w:val="001F4246"/>
    <w:rsid w:val="002000DA"/>
    <w:rsid w:val="00205813"/>
    <w:rsid w:val="00205E97"/>
    <w:rsid w:val="00206E16"/>
    <w:rsid w:val="0021291D"/>
    <w:rsid w:val="00212D06"/>
    <w:rsid w:val="0021472A"/>
    <w:rsid w:val="00221D54"/>
    <w:rsid w:val="0023065A"/>
    <w:rsid w:val="002312F6"/>
    <w:rsid w:val="002318C2"/>
    <w:rsid w:val="00232061"/>
    <w:rsid w:val="00232C67"/>
    <w:rsid w:val="00234A11"/>
    <w:rsid w:val="00236834"/>
    <w:rsid w:val="002413EE"/>
    <w:rsid w:val="00244205"/>
    <w:rsid w:val="00246732"/>
    <w:rsid w:val="00250E55"/>
    <w:rsid w:val="0025287B"/>
    <w:rsid w:val="00253E83"/>
    <w:rsid w:val="002618B5"/>
    <w:rsid w:val="00262E16"/>
    <w:rsid w:val="002648E6"/>
    <w:rsid w:val="00264D2F"/>
    <w:rsid w:val="0026545A"/>
    <w:rsid w:val="00267E01"/>
    <w:rsid w:val="002764EE"/>
    <w:rsid w:val="00277B28"/>
    <w:rsid w:val="0028243B"/>
    <w:rsid w:val="0029564F"/>
    <w:rsid w:val="002970BB"/>
    <w:rsid w:val="002A1AB7"/>
    <w:rsid w:val="002B285E"/>
    <w:rsid w:val="002B66DD"/>
    <w:rsid w:val="002C1945"/>
    <w:rsid w:val="002C6C5A"/>
    <w:rsid w:val="002C7931"/>
    <w:rsid w:val="002D2B6B"/>
    <w:rsid w:val="002E0876"/>
    <w:rsid w:val="002E4D2C"/>
    <w:rsid w:val="002E5BA2"/>
    <w:rsid w:val="002F4300"/>
    <w:rsid w:val="002F7F09"/>
    <w:rsid w:val="00301741"/>
    <w:rsid w:val="00301B5F"/>
    <w:rsid w:val="00312025"/>
    <w:rsid w:val="00315441"/>
    <w:rsid w:val="00317D1F"/>
    <w:rsid w:val="003205FC"/>
    <w:rsid w:val="00324CCB"/>
    <w:rsid w:val="00324DD0"/>
    <w:rsid w:val="00325B5C"/>
    <w:rsid w:val="0033292F"/>
    <w:rsid w:val="00332F48"/>
    <w:rsid w:val="0033395A"/>
    <w:rsid w:val="0034000A"/>
    <w:rsid w:val="00342C18"/>
    <w:rsid w:val="00344A77"/>
    <w:rsid w:val="00357A0A"/>
    <w:rsid w:val="00370E69"/>
    <w:rsid w:val="00371F22"/>
    <w:rsid w:val="00372851"/>
    <w:rsid w:val="00374296"/>
    <w:rsid w:val="00375366"/>
    <w:rsid w:val="00382CA1"/>
    <w:rsid w:val="00387957"/>
    <w:rsid w:val="00395F8A"/>
    <w:rsid w:val="00397716"/>
    <w:rsid w:val="003A3D10"/>
    <w:rsid w:val="003B1C36"/>
    <w:rsid w:val="003C3C5A"/>
    <w:rsid w:val="003C522C"/>
    <w:rsid w:val="003D0E0A"/>
    <w:rsid w:val="003D24C7"/>
    <w:rsid w:val="003D39DF"/>
    <w:rsid w:val="003D6DE6"/>
    <w:rsid w:val="003E4070"/>
    <w:rsid w:val="003E5596"/>
    <w:rsid w:val="003F54AA"/>
    <w:rsid w:val="003F6186"/>
    <w:rsid w:val="00405E23"/>
    <w:rsid w:val="0040714B"/>
    <w:rsid w:val="00415705"/>
    <w:rsid w:val="004302F2"/>
    <w:rsid w:val="00431AB6"/>
    <w:rsid w:val="00434559"/>
    <w:rsid w:val="00440D43"/>
    <w:rsid w:val="00451878"/>
    <w:rsid w:val="00457089"/>
    <w:rsid w:val="004571CB"/>
    <w:rsid w:val="004618C6"/>
    <w:rsid w:val="00464DB3"/>
    <w:rsid w:val="00472638"/>
    <w:rsid w:val="00473360"/>
    <w:rsid w:val="0047712E"/>
    <w:rsid w:val="0048081B"/>
    <w:rsid w:val="00484AA4"/>
    <w:rsid w:val="00487689"/>
    <w:rsid w:val="004D0F8F"/>
    <w:rsid w:val="004D6D01"/>
    <w:rsid w:val="004F30CB"/>
    <w:rsid w:val="00500641"/>
    <w:rsid w:val="0050693A"/>
    <w:rsid w:val="005139B2"/>
    <w:rsid w:val="00530538"/>
    <w:rsid w:val="00533F1A"/>
    <w:rsid w:val="00535627"/>
    <w:rsid w:val="00535F26"/>
    <w:rsid w:val="00537FE9"/>
    <w:rsid w:val="005518AE"/>
    <w:rsid w:val="00553DCA"/>
    <w:rsid w:val="00554264"/>
    <w:rsid w:val="00562C65"/>
    <w:rsid w:val="00572365"/>
    <w:rsid w:val="005726FB"/>
    <w:rsid w:val="00576EA7"/>
    <w:rsid w:val="00592372"/>
    <w:rsid w:val="005A02A8"/>
    <w:rsid w:val="005A7DA5"/>
    <w:rsid w:val="005B057F"/>
    <w:rsid w:val="005B245A"/>
    <w:rsid w:val="005B3C76"/>
    <w:rsid w:val="005B4AD0"/>
    <w:rsid w:val="005B6E49"/>
    <w:rsid w:val="005D12F5"/>
    <w:rsid w:val="005D1503"/>
    <w:rsid w:val="005D308E"/>
    <w:rsid w:val="005E297D"/>
    <w:rsid w:val="005F6F7E"/>
    <w:rsid w:val="00602262"/>
    <w:rsid w:val="00615464"/>
    <w:rsid w:val="0061756B"/>
    <w:rsid w:val="00624C5F"/>
    <w:rsid w:val="0063467C"/>
    <w:rsid w:val="0064034E"/>
    <w:rsid w:val="006443F8"/>
    <w:rsid w:val="00651B7A"/>
    <w:rsid w:val="00651F5A"/>
    <w:rsid w:val="0065512C"/>
    <w:rsid w:val="00670DD3"/>
    <w:rsid w:val="00670F83"/>
    <w:rsid w:val="00674515"/>
    <w:rsid w:val="00687984"/>
    <w:rsid w:val="006934A8"/>
    <w:rsid w:val="0069396D"/>
    <w:rsid w:val="006A3474"/>
    <w:rsid w:val="006B635E"/>
    <w:rsid w:val="006C4940"/>
    <w:rsid w:val="006C4CF7"/>
    <w:rsid w:val="006E249F"/>
    <w:rsid w:val="006F53E0"/>
    <w:rsid w:val="006F79C8"/>
    <w:rsid w:val="00705233"/>
    <w:rsid w:val="00705500"/>
    <w:rsid w:val="007130D7"/>
    <w:rsid w:val="00723A81"/>
    <w:rsid w:val="00734A1A"/>
    <w:rsid w:val="00736813"/>
    <w:rsid w:val="00737CA3"/>
    <w:rsid w:val="00743375"/>
    <w:rsid w:val="0074499B"/>
    <w:rsid w:val="0074536A"/>
    <w:rsid w:val="00745E87"/>
    <w:rsid w:val="00753251"/>
    <w:rsid w:val="00754061"/>
    <w:rsid w:val="007549EF"/>
    <w:rsid w:val="00763284"/>
    <w:rsid w:val="00767786"/>
    <w:rsid w:val="00767BAB"/>
    <w:rsid w:val="00772CE8"/>
    <w:rsid w:val="007746DE"/>
    <w:rsid w:val="00776EC5"/>
    <w:rsid w:val="00786908"/>
    <w:rsid w:val="007869CB"/>
    <w:rsid w:val="00791673"/>
    <w:rsid w:val="007A006A"/>
    <w:rsid w:val="007A0410"/>
    <w:rsid w:val="007A135E"/>
    <w:rsid w:val="007A18C0"/>
    <w:rsid w:val="007B0BBA"/>
    <w:rsid w:val="007B2464"/>
    <w:rsid w:val="007B3131"/>
    <w:rsid w:val="007C1755"/>
    <w:rsid w:val="007C51FD"/>
    <w:rsid w:val="007E3BEA"/>
    <w:rsid w:val="007F1524"/>
    <w:rsid w:val="007F79AF"/>
    <w:rsid w:val="00802085"/>
    <w:rsid w:val="008020E7"/>
    <w:rsid w:val="00803B71"/>
    <w:rsid w:val="0080724D"/>
    <w:rsid w:val="00813698"/>
    <w:rsid w:val="00817978"/>
    <w:rsid w:val="0082747C"/>
    <w:rsid w:val="0083008F"/>
    <w:rsid w:val="00833641"/>
    <w:rsid w:val="00845415"/>
    <w:rsid w:val="0086388B"/>
    <w:rsid w:val="00864081"/>
    <w:rsid w:val="00865487"/>
    <w:rsid w:val="008720BD"/>
    <w:rsid w:val="00884E33"/>
    <w:rsid w:val="008914F5"/>
    <w:rsid w:val="008A0E04"/>
    <w:rsid w:val="008B4B51"/>
    <w:rsid w:val="008B7FB6"/>
    <w:rsid w:val="008C7425"/>
    <w:rsid w:val="008D48A1"/>
    <w:rsid w:val="008D48F0"/>
    <w:rsid w:val="008E48D6"/>
    <w:rsid w:val="008E4F6A"/>
    <w:rsid w:val="008F09DE"/>
    <w:rsid w:val="008F349E"/>
    <w:rsid w:val="008F3EDF"/>
    <w:rsid w:val="008F4343"/>
    <w:rsid w:val="008F5448"/>
    <w:rsid w:val="008F63E2"/>
    <w:rsid w:val="009036E0"/>
    <w:rsid w:val="00904AB4"/>
    <w:rsid w:val="00906102"/>
    <w:rsid w:val="0091146D"/>
    <w:rsid w:val="00912ABF"/>
    <w:rsid w:val="009147A7"/>
    <w:rsid w:val="00915A0F"/>
    <w:rsid w:val="00915EB8"/>
    <w:rsid w:val="00923A6D"/>
    <w:rsid w:val="00925195"/>
    <w:rsid w:val="00930B05"/>
    <w:rsid w:val="0093483D"/>
    <w:rsid w:val="009367FE"/>
    <w:rsid w:val="00937E32"/>
    <w:rsid w:val="00942479"/>
    <w:rsid w:val="009437D1"/>
    <w:rsid w:val="009444F5"/>
    <w:rsid w:val="009562FD"/>
    <w:rsid w:val="009602BA"/>
    <w:rsid w:val="00963734"/>
    <w:rsid w:val="009651BB"/>
    <w:rsid w:val="00973185"/>
    <w:rsid w:val="00975059"/>
    <w:rsid w:val="009802D5"/>
    <w:rsid w:val="00981557"/>
    <w:rsid w:val="009841B1"/>
    <w:rsid w:val="00992236"/>
    <w:rsid w:val="009A0B3C"/>
    <w:rsid w:val="009A1E8F"/>
    <w:rsid w:val="009B24DC"/>
    <w:rsid w:val="009D15AE"/>
    <w:rsid w:val="009D2C58"/>
    <w:rsid w:val="009D53BC"/>
    <w:rsid w:val="009D74D3"/>
    <w:rsid w:val="009E0549"/>
    <w:rsid w:val="009E19C8"/>
    <w:rsid w:val="009F4D56"/>
    <w:rsid w:val="009F57F8"/>
    <w:rsid w:val="00A032D6"/>
    <w:rsid w:val="00A040D1"/>
    <w:rsid w:val="00A06E4C"/>
    <w:rsid w:val="00A11317"/>
    <w:rsid w:val="00A11ED9"/>
    <w:rsid w:val="00A168B1"/>
    <w:rsid w:val="00A34D4E"/>
    <w:rsid w:val="00A43440"/>
    <w:rsid w:val="00A470E4"/>
    <w:rsid w:val="00A525B9"/>
    <w:rsid w:val="00A57447"/>
    <w:rsid w:val="00A57932"/>
    <w:rsid w:val="00A60456"/>
    <w:rsid w:val="00A723AA"/>
    <w:rsid w:val="00A83B21"/>
    <w:rsid w:val="00A84D42"/>
    <w:rsid w:val="00A85379"/>
    <w:rsid w:val="00A95E65"/>
    <w:rsid w:val="00A96483"/>
    <w:rsid w:val="00A97DD1"/>
    <w:rsid w:val="00AA21B0"/>
    <w:rsid w:val="00AA3050"/>
    <w:rsid w:val="00AB2FFF"/>
    <w:rsid w:val="00AB4B8B"/>
    <w:rsid w:val="00AB4C08"/>
    <w:rsid w:val="00AB6D92"/>
    <w:rsid w:val="00AC119D"/>
    <w:rsid w:val="00AC67E4"/>
    <w:rsid w:val="00AD1A12"/>
    <w:rsid w:val="00AD45B0"/>
    <w:rsid w:val="00AD48F9"/>
    <w:rsid w:val="00AE00C1"/>
    <w:rsid w:val="00AE5A91"/>
    <w:rsid w:val="00AF43D4"/>
    <w:rsid w:val="00AF7A84"/>
    <w:rsid w:val="00B01E82"/>
    <w:rsid w:val="00B0655A"/>
    <w:rsid w:val="00B122B7"/>
    <w:rsid w:val="00B161C0"/>
    <w:rsid w:val="00B20FC3"/>
    <w:rsid w:val="00B234CE"/>
    <w:rsid w:val="00B24109"/>
    <w:rsid w:val="00B25F06"/>
    <w:rsid w:val="00B37109"/>
    <w:rsid w:val="00B40E15"/>
    <w:rsid w:val="00B44999"/>
    <w:rsid w:val="00B502DA"/>
    <w:rsid w:val="00B507A2"/>
    <w:rsid w:val="00B50D8D"/>
    <w:rsid w:val="00B5708C"/>
    <w:rsid w:val="00B572B2"/>
    <w:rsid w:val="00B62389"/>
    <w:rsid w:val="00B63006"/>
    <w:rsid w:val="00B678F6"/>
    <w:rsid w:val="00B70552"/>
    <w:rsid w:val="00B74C6F"/>
    <w:rsid w:val="00B81ECD"/>
    <w:rsid w:val="00B84B62"/>
    <w:rsid w:val="00B90F91"/>
    <w:rsid w:val="00BA0FA2"/>
    <w:rsid w:val="00BA2477"/>
    <w:rsid w:val="00BA4193"/>
    <w:rsid w:val="00BA6C26"/>
    <w:rsid w:val="00BB3F2E"/>
    <w:rsid w:val="00BB51F9"/>
    <w:rsid w:val="00BC0E5B"/>
    <w:rsid w:val="00BC2952"/>
    <w:rsid w:val="00BC4068"/>
    <w:rsid w:val="00BD019B"/>
    <w:rsid w:val="00BD02BB"/>
    <w:rsid w:val="00BD40B1"/>
    <w:rsid w:val="00BF5C48"/>
    <w:rsid w:val="00C0411A"/>
    <w:rsid w:val="00C0549A"/>
    <w:rsid w:val="00C13DEE"/>
    <w:rsid w:val="00C14141"/>
    <w:rsid w:val="00C14381"/>
    <w:rsid w:val="00C25301"/>
    <w:rsid w:val="00C337E4"/>
    <w:rsid w:val="00C42452"/>
    <w:rsid w:val="00C443A4"/>
    <w:rsid w:val="00C44719"/>
    <w:rsid w:val="00C52D41"/>
    <w:rsid w:val="00C55E67"/>
    <w:rsid w:val="00C61CCC"/>
    <w:rsid w:val="00C63C23"/>
    <w:rsid w:val="00C663D7"/>
    <w:rsid w:val="00C70332"/>
    <w:rsid w:val="00C71B72"/>
    <w:rsid w:val="00C80EA1"/>
    <w:rsid w:val="00C923FF"/>
    <w:rsid w:val="00CA08C2"/>
    <w:rsid w:val="00CA3403"/>
    <w:rsid w:val="00CA4629"/>
    <w:rsid w:val="00CB2118"/>
    <w:rsid w:val="00CB4F40"/>
    <w:rsid w:val="00CB68B9"/>
    <w:rsid w:val="00CB720C"/>
    <w:rsid w:val="00CB7764"/>
    <w:rsid w:val="00CC4F28"/>
    <w:rsid w:val="00CC7194"/>
    <w:rsid w:val="00CD12A3"/>
    <w:rsid w:val="00CD3FA7"/>
    <w:rsid w:val="00CD5815"/>
    <w:rsid w:val="00CD6DF0"/>
    <w:rsid w:val="00CD6DFC"/>
    <w:rsid w:val="00CD764A"/>
    <w:rsid w:val="00CE66C7"/>
    <w:rsid w:val="00CF1302"/>
    <w:rsid w:val="00CF2A65"/>
    <w:rsid w:val="00D00D88"/>
    <w:rsid w:val="00D01C8C"/>
    <w:rsid w:val="00D131D7"/>
    <w:rsid w:val="00D141F0"/>
    <w:rsid w:val="00D15F7F"/>
    <w:rsid w:val="00D16D99"/>
    <w:rsid w:val="00D16FF9"/>
    <w:rsid w:val="00D17F35"/>
    <w:rsid w:val="00D201C2"/>
    <w:rsid w:val="00D21ED8"/>
    <w:rsid w:val="00D24FD8"/>
    <w:rsid w:val="00D250D6"/>
    <w:rsid w:val="00D31AFC"/>
    <w:rsid w:val="00D50E32"/>
    <w:rsid w:val="00D524E7"/>
    <w:rsid w:val="00D55376"/>
    <w:rsid w:val="00D5659B"/>
    <w:rsid w:val="00D62749"/>
    <w:rsid w:val="00D65036"/>
    <w:rsid w:val="00D750B2"/>
    <w:rsid w:val="00D75BF9"/>
    <w:rsid w:val="00D76279"/>
    <w:rsid w:val="00D81FB0"/>
    <w:rsid w:val="00D853B2"/>
    <w:rsid w:val="00D9551E"/>
    <w:rsid w:val="00DA4083"/>
    <w:rsid w:val="00DB4D2E"/>
    <w:rsid w:val="00DC2676"/>
    <w:rsid w:val="00DC527A"/>
    <w:rsid w:val="00DE0237"/>
    <w:rsid w:val="00DE209B"/>
    <w:rsid w:val="00DE2F95"/>
    <w:rsid w:val="00DE5FDC"/>
    <w:rsid w:val="00DF1463"/>
    <w:rsid w:val="00DF4588"/>
    <w:rsid w:val="00DF4FE8"/>
    <w:rsid w:val="00E07D0F"/>
    <w:rsid w:val="00E11F34"/>
    <w:rsid w:val="00E151BC"/>
    <w:rsid w:val="00E23888"/>
    <w:rsid w:val="00E24F9C"/>
    <w:rsid w:val="00E27CD3"/>
    <w:rsid w:val="00E33217"/>
    <w:rsid w:val="00E35232"/>
    <w:rsid w:val="00E44E84"/>
    <w:rsid w:val="00E45F2F"/>
    <w:rsid w:val="00E47728"/>
    <w:rsid w:val="00E52997"/>
    <w:rsid w:val="00E5420D"/>
    <w:rsid w:val="00E5593D"/>
    <w:rsid w:val="00E5686F"/>
    <w:rsid w:val="00E6552F"/>
    <w:rsid w:val="00E65976"/>
    <w:rsid w:val="00E730C5"/>
    <w:rsid w:val="00E7419B"/>
    <w:rsid w:val="00E75A8B"/>
    <w:rsid w:val="00E7797F"/>
    <w:rsid w:val="00E77B25"/>
    <w:rsid w:val="00E91C77"/>
    <w:rsid w:val="00EA183B"/>
    <w:rsid w:val="00EB1733"/>
    <w:rsid w:val="00EB3AC6"/>
    <w:rsid w:val="00EB59BA"/>
    <w:rsid w:val="00EC1927"/>
    <w:rsid w:val="00EC32B3"/>
    <w:rsid w:val="00ED0127"/>
    <w:rsid w:val="00ED02FB"/>
    <w:rsid w:val="00ED2158"/>
    <w:rsid w:val="00ED7EF2"/>
    <w:rsid w:val="00EE2A11"/>
    <w:rsid w:val="00EE6C7C"/>
    <w:rsid w:val="00EE796D"/>
    <w:rsid w:val="00EF0E9F"/>
    <w:rsid w:val="00EF50A6"/>
    <w:rsid w:val="00EF59A2"/>
    <w:rsid w:val="00EF7CE9"/>
    <w:rsid w:val="00F02574"/>
    <w:rsid w:val="00F071D1"/>
    <w:rsid w:val="00F1212A"/>
    <w:rsid w:val="00F216B5"/>
    <w:rsid w:val="00F329DB"/>
    <w:rsid w:val="00F34F26"/>
    <w:rsid w:val="00F475CF"/>
    <w:rsid w:val="00F5239A"/>
    <w:rsid w:val="00F56DE0"/>
    <w:rsid w:val="00F56FB8"/>
    <w:rsid w:val="00F609AD"/>
    <w:rsid w:val="00F640BF"/>
    <w:rsid w:val="00F67C67"/>
    <w:rsid w:val="00F735A0"/>
    <w:rsid w:val="00F7746C"/>
    <w:rsid w:val="00F77555"/>
    <w:rsid w:val="00F80B12"/>
    <w:rsid w:val="00F81D4E"/>
    <w:rsid w:val="00F83263"/>
    <w:rsid w:val="00F83E93"/>
    <w:rsid w:val="00F90447"/>
    <w:rsid w:val="00F9272C"/>
    <w:rsid w:val="00F92A1D"/>
    <w:rsid w:val="00F95A62"/>
    <w:rsid w:val="00FA5D34"/>
    <w:rsid w:val="00FA7108"/>
    <w:rsid w:val="00FB0808"/>
    <w:rsid w:val="00FB1A25"/>
    <w:rsid w:val="00FB769D"/>
    <w:rsid w:val="00FC08DC"/>
    <w:rsid w:val="00FC2F73"/>
    <w:rsid w:val="00FD51C7"/>
    <w:rsid w:val="00FD5722"/>
    <w:rsid w:val="00FD5D80"/>
    <w:rsid w:val="00FD6C6F"/>
    <w:rsid w:val="00FE4C22"/>
    <w:rsid w:val="00FF0502"/>
    <w:rsid w:val="00FF3A67"/>
    <w:rsid w:val="00FF6315"/>
    <w:rsid w:val="00FF6EF3"/>
    <w:rsid w:val="069D1ECC"/>
    <w:rsid w:val="0B76DA62"/>
    <w:rsid w:val="11FBFC23"/>
    <w:rsid w:val="1634BC98"/>
    <w:rsid w:val="164EC31C"/>
    <w:rsid w:val="18060644"/>
    <w:rsid w:val="18D86640"/>
    <w:rsid w:val="1AC5BEB5"/>
    <w:rsid w:val="22F77B04"/>
    <w:rsid w:val="23DA9024"/>
    <w:rsid w:val="26F522AB"/>
    <w:rsid w:val="27C0C42D"/>
    <w:rsid w:val="2C8D1104"/>
    <w:rsid w:val="2C905792"/>
    <w:rsid w:val="327B8BB8"/>
    <w:rsid w:val="3389070A"/>
    <w:rsid w:val="341D5105"/>
    <w:rsid w:val="392BBD84"/>
    <w:rsid w:val="39EB63D5"/>
    <w:rsid w:val="3D19CDAC"/>
    <w:rsid w:val="3D484C0A"/>
    <w:rsid w:val="3E323539"/>
    <w:rsid w:val="48138AB7"/>
    <w:rsid w:val="4919DB88"/>
    <w:rsid w:val="4E6F8B4E"/>
    <w:rsid w:val="4F1604B5"/>
    <w:rsid w:val="4FE43875"/>
    <w:rsid w:val="515F3E23"/>
    <w:rsid w:val="51A17354"/>
    <w:rsid w:val="523886C1"/>
    <w:rsid w:val="53D20A9D"/>
    <w:rsid w:val="53E846E8"/>
    <w:rsid w:val="543879C9"/>
    <w:rsid w:val="550EF112"/>
    <w:rsid w:val="5554BCE2"/>
    <w:rsid w:val="598443E4"/>
    <w:rsid w:val="5A4030A2"/>
    <w:rsid w:val="5AE87249"/>
    <w:rsid w:val="5F8361F7"/>
    <w:rsid w:val="6C6722D0"/>
    <w:rsid w:val="6F69C450"/>
    <w:rsid w:val="70DD0EE5"/>
    <w:rsid w:val="711FC3C5"/>
    <w:rsid w:val="73C20FB8"/>
    <w:rsid w:val="757609FB"/>
    <w:rsid w:val="761F44B1"/>
    <w:rsid w:val="781BC5F8"/>
    <w:rsid w:val="7B52618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2E48AB"/>
  <w15:chartTrackingRefBased/>
  <w15:docId w15:val="{7A6846A0-1A26-441A-A721-02B7F8C3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Verdana" w:hAnsi="Verdana"/>
      <w:szCs w:val="19"/>
    </w:rPr>
  </w:style>
  <w:style w:type="paragraph" w:styleId="Otsikko1">
    <w:name w:val="heading 1"/>
    <w:next w:val="Leipteksti"/>
    <w:qFormat/>
    <w:pPr>
      <w:keepNext/>
      <w:outlineLvl w:val="0"/>
    </w:pPr>
    <w:rPr>
      <w:rFonts w:ascii="Verdana" w:hAnsi="Verdana" w:cs="Arial"/>
      <w:b/>
      <w:bCs/>
      <w:kern w:val="32"/>
      <w:sz w:val="28"/>
      <w:szCs w:val="32"/>
    </w:rPr>
  </w:style>
  <w:style w:type="paragraph" w:styleId="Otsikko2">
    <w:name w:val="heading 2"/>
    <w:basedOn w:val="Otsikko1"/>
    <w:next w:val="Leipteksti"/>
    <w:qFormat/>
    <w:pPr>
      <w:outlineLvl w:val="1"/>
    </w:pPr>
    <w:rPr>
      <w:bCs w:val="0"/>
      <w:iCs/>
      <w:sz w:val="20"/>
      <w:szCs w:val="28"/>
    </w:rPr>
  </w:style>
  <w:style w:type="paragraph" w:styleId="Otsikko3">
    <w:name w:val="heading 3"/>
    <w:basedOn w:val="Otsikko1"/>
    <w:next w:val="Leipteksti"/>
    <w:qFormat/>
    <w:pPr>
      <w:outlineLvl w:val="2"/>
    </w:pPr>
    <w:rPr>
      <w:bCs w:val="0"/>
      <w:sz w:val="20"/>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rPr>
      <w:sz w:val="16"/>
    </w:rPr>
  </w:style>
  <w:style w:type="paragraph" w:styleId="Leipteksti">
    <w:name w:val="Body Text"/>
    <w:basedOn w:val="Normaali"/>
  </w:style>
  <w:style w:type="paragraph" w:styleId="Alatunniste">
    <w:name w:val="footer"/>
    <w:link w:val="AlatunnisteChar"/>
    <w:rsid w:val="00387957"/>
    <w:pPr>
      <w:tabs>
        <w:tab w:val="center" w:pos="4819"/>
        <w:tab w:val="right" w:pos="9638"/>
      </w:tabs>
      <w:spacing w:line="220" w:lineRule="atLeast"/>
      <w:ind w:left="5783"/>
    </w:pPr>
    <w:rPr>
      <w:rFonts w:ascii="Verdana" w:hAnsi="Verdana"/>
      <w:sz w:val="16"/>
      <w:szCs w:val="16"/>
    </w:rPr>
  </w:style>
  <w:style w:type="character" w:customStyle="1" w:styleId="AlatunnisteChar">
    <w:name w:val="Alatunniste Char"/>
    <w:link w:val="Alatunniste"/>
    <w:rsid w:val="00397716"/>
    <w:rPr>
      <w:rFonts w:ascii="Verdana" w:hAnsi="Verdana"/>
      <w:sz w:val="16"/>
      <w:szCs w:val="16"/>
    </w:rPr>
  </w:style>
  <w:style w:type="paragraph" w:customStyle="1" w:styleId="Leipteksti23">
    <w:name w:val="Leipäteksti 23"/>
    <w:basedOn w:val="Normaali"/>
    <w:rsid w:val="0033395A"/>
    <w:pPr>
      <w:numPr>
        <w:ilvl w:val="1"/>
        <w:numId w:val="5"/>
      </w:numPr>
      <w:tabs>
        <w:tab w:val="left" w:pos="-1800"/>
        <w:tab w:val="left" w:pos="-1620"/>
        <w:tab w:val="left" w:pos="-1296"/>
        <w:tab w:val="left" w:pos="0"/>
        <w:tab w:val="left" w:pos="540"/>
        <w:tab w:val="left" w:pos="1296"/>
        <w:tab w:val="left" w:pos="2592"/>
        <w:tab w:val="left" w:pos="3888"/>
        <w:tab w:val="left" w:pos="5184"/>
        <w:tab w:val="left" w:pos="6480"/>
        <w:tab w:val="left" w:pos="7776"/>
        <w:tab w:val="left" w:pos="8784"/>
      </w:tabs>
      <w:suppressAutoHyphens/>
      <w:spacing w:after="120"/>
    </w:pPr>
    <w:rPr>
      <w:rFonts w:ascii="Arial" w:hAnsi="Arial"/>
      <w:szCs w:val="20"/>
    </w:rPr>
  </w:style>
  <w:style w:type="paragraph" w:customStyle="1" w:styleId="Leipteksti24">
    <w:name w:val="Leipäteksti 24"/>
    <w:basedOn w:val="Normaali"/>
    <w:rsid w:val="0033395A"/>
    <w:pPr>
      <w:tabs>
        <w:tab w:val="left" w:pos="-1800"/>
        <w:tab w:val="left" w:pos="-1620"/>
        <w:tab w:val="left" w:pos="-1296"/>
        <w:tab w:val="left" w:pos="540"/>
        <w:tab w:val="left" w:pos="1296"/>
        <w:tab w:val="left" w:pos="2592"/>
        <w:tab w:val="left" w:pos="3888"/>
        <w:tab w:val="left" w:pos="5184"/>
        <w:tab w:val="left" w:pos="6480"/>
        <w:tab w:val="left" w:pos="7776"/>
        <w:tab w:val="left" w:pos="8784"/>
      </w:tabs>
      <w:suppressAutoHyphens/>
      <w:spacing w:after="120"/>
    </w:pPr>
    <w:rPr>
      <w:rFonts w:ascii="Arial" w:hAnsi="Arial"/>
      <w:szCs w:val="20"/>
    </w:rPr>
  </w:style>
  <w:style w:type="paragraph" w:styleId="Luettelokappale">
    <w:name w:val="List Paragraph"/>
    <w:basedOn w:val="Normaali"/>
    <w:uiPriority w:val="34"/>
    <w:qFormat/>
    <w:rsid w:val="0033395A"/>
    <w:pPr>
      <w:tabs>
        <w:tab w:val="left" w:pos="-1800"/>
        <w:tab w:val="left" w:pos="-1620"/>
        <w:tab w:val="left" w:pos="-1296"/>
        <w:tab w:val="left" w:pos="540"/>
        <w:tab w:val="left" w:pos="1296"/>
        <w:tab w:val="num" w:pos="1440"/>
        <w:tab w:val="left" w:pos="2592"/>
        <w:tab w:val="left" w:pos="3888"/>
        <w:tab w:val="left" w:pos="5184"/>
        <w:tab w:val="left" w:pos="6480"/>
        <w:tab w:val="left" w:pos="7776"/>
        <w:tab w:val="left" w:pos="8784"/>
      </w:tabs>
      <w:suppressAutoHyphens/>
      <w:spacing w:after="120"/>
      <w:ind w:left="720" w:hanging="774"/>
      <w:contextualSpacing/>
    </w:pPr>
    <w:rPr>
      <w:rFonts w:ascii="Arial" w:hAnsi="Arial"/>
      <w:szCs w:val="20"/>
    </w:rPr>
  </w:style>
  <w:style w:type="paragraph" w:styleId="Eivli">
    <w:name w:val="No Spacing"/>
    <w:link w:val="EivliChar"/>
    <w:uiPriority w:val="1"/>
    <w:qFormat/>
    <w:rsid w:val="0033395A"/>
    <w:pPr>
      <w:widowControl w:val="0"/>
      <w:overflowPunct w:val="0"/>
      <w:autoSpaceDE w:val="0"/>
      <w:autoSpaceDN w:val="0"/>
      <w:adjustRightInd w:val="0"/>
      <w:textAlignment w:val="baseline"/>
    </w:pPr>
    <w:rPr>
      <w:rFonts w:ascii="Arial" w:hAnsi="Arial"/>
      <w:sz w:val="24"/>
    </w:rPr>
  </w:style>
  <w:style w:type="paragraph" w:styleId="Sisllysluettelonotsikko">
    <w:name w:val="TOC Heading"/>
    <w:basedOn w:val="Otsikko1"/>
    <w:next w:val="Normaali"/>
    <w:uiPriority w:val="39"/>
    <w:unhideWhenUsed/>
    <w:qFormat/>
    <w:rsid w:val="0033395A"/>
    <w:pPr>
      <w:keepLines/>
      <w:spacing w:before="480" w:line="276" w:lineRule="auto"/>
      <w:outlineLvl w:val="9"/>
    </w:pPr>
    <w:rPr>
      <w:rFonts w:ascii="Cambria" w:hAnsi="Cambria" w:cs="Times New Roman"/>
      <w:color w:val="365F91"/>
      <w:kern w:val="0"/>
      <w:szCs w:val="28"/>
    </w:rPr>
  </w:style>
  <w:style w:type="paragraph" w:styleId="Sisluet2">
    <w:name w:val="toc 2"/>
    <w:basedOn w:val="Normaali"/>
    <w:next w:val="Normaali"/>
    <w:autoRedefine/>
    <w:uiPriority w:val="39"/>
    <w:unhideWhenUsed/>
    <w:qFormat/>
    <w:rsid w:val="0033395A"/>
    <w:pPr>
      <w:spacing w:after="100" w:line="276" w:lineRule="auto"/>
      <w:ind w:left="220"/>
    </w:pPr>
    <w:rPr>
      <w:rFonts w:ascii="Calibri" w:hAnsi="Calibri"/>
      <w:sz w:val="22"/>
      <w:szCs w:val="22"/>
    </w:rPr>
  </w:style>
  <w:style w:type="paragraph" w:styleId="Sisluet1">
    <w:name w:val="toc 1"/>
    <w:basedOn w:val="Normaali"/>
    <w:next w:val="Normaali"/>
    <w:autoRedefine/>
    <w:uiPriority w:val="39"/>
    <w:unhideWhenUsed/>
    <w:qFormat/>
    <w:rsid w:val="0033395A"/>
    <w:pPr>
      <w:spacing w:after="100" w:line="276" w:lineRule="auto"/>
    </w:pPr>
    <w:rPr>
      <w:rFonts w:ascii="Calibri" w:hAnsi="Calibri"/>
      <w:sz w:val="22"/>
      <w:szCs w:val="22"/>
    </w:rPr>
  </w:style>
  <w:style w:type="character" w:styleId="Hyperlinkki">
    <w:name w:val="Hyperlink"/>
    <w:uiPriority w:val="99"/>
    <w:unhideWhenUsed/>
    <w:rsid w:val="0033395A"/>
    <w:rPr>
      <w:color w:val="0000FF"/>
      <w:u w:val="single"/>
    </w:rPr>
  </w:style>
  <w:style w:type="character" w:customStyle="1" w:styleId="EivliChar">
    <w:name w:val="Ei väliä Char"/>
    <w:link w:val="Eivli"/>
    <w:uiPriority w:val="1"/>
    <w:rsid w:val="0033395A"/>
    <w:rPr>
      <w:rFonts w:ascii="Arial" w:hAnsi="Arial"/>
      <w:sz w:val="24"/>
    </w:rPr>
  </w:style>
  <w:style w:type="paragraph" w:styleId="Seliteteksti">
    <w:name w:val="Balloon Text"/>
    <w:basedOn w:val="Normaali"/>
    <w:link w:val="SelitetekstiChar"/>
    <w:rsid w:val="0064034E"/>
    <w:rPr>
      <w:rFonts w:ascii="Segoe UI" w:hAnsi="Segoe UI" w:cs="Segoe UI"/>
      <w:sz w:val="18"/>
      <w:szCs w:val="18"/>
    </w:rPr>
  </w:style>
  <w:style w:type="character" w:customStyle="1" w:styleId="SelitetekstiChar">
    <w:name w:val="Seliteteksti Char"/>
    <w:link w:val="Seliteteksti"/>
    <w:rsid w:val="0064034E"/>
    <w:rPr>
      <w:rFonts w:ascii="Segoe UI" w:hAnsi="Segoe UI" w:cs="Segoe UI"/>
      <w:sz w:val="18"/>
      <w:szCs w:val="18"/>
    </w:rPr>
  </w:style>
  <w:style w:type="character" w:styleId="Kommentinviite">
    <w:name w:val="annotation reference"/>
    <w:uiPriority w:val="99"/>
    <w:rsid w:val="0064034E"/>
    <w:rPr>
      <w:sz w:val="16"/>
      <w:szCs w:val="16"/>
    </w:rPr>
  </w:style>
  <w:style w:type="paragraph" w:styleId="Kommentinteksti">
    <w:name w:val="annotation text"/>
    <w:basedOn w:val="Normaali"/>
    <w:link w:val="KommentintekstiChar"/>
    <w:uiPriority w:val="99"/>
    <w:rsid w:val="0064034E"/>
    <w:rPr>
      <w:szCs w:val="20"/>
    </w:rPr>
  </w:style>
  <w:style w:type="character" w:customStyle="1" w:styleId="KommentintekstiChar">
    <w:name w:val="Kommentin teksti Char"/>
    <w:link w:val="Kommentinteksti"/>
    <w:uiPriority w:val="99"/>
    <w:rsid w:val="0064034E"/>
    <w:rPr>
      <w:rFonts w:ascii="Verdana" w:hAnsi="Verdana"/>
    </w:rPr>
  </w:style>
  <w:style w:type="paragraph" w:styleId="Kommentinotsikko">
    <w:name w:val="annotation subject"/>
    <w:basedOn w:val="Kommentinteksti"/>
    <w:next w:val="Kommentinteksti"/>
    <w:link w:val="KommentinotsikkoChar"/>
    <w:rsid w:val="0064034E"/>
    <w:rPr>
      <w:b/>
      <w:bCs/>
    </w:rPr>
  </w:style>
  <w:style w:type="character" w:customStyle="1" w:styleId="KommentinotsikkoChar">
    <w:name w:val="Kommentin otsikko Char"/>
    <w:link w:val="Kommentinotsikko"/>
    <w:rsid w:val="0064034E"/>
    <w:rPr>
      <w:rFonts w:ascii="Verdana" w:hAnsi="Verdana"/>
      <w:b/>
      <w:bCs/>
    </w:rPr>
  </w:style>
  <w:style w:type="character" w:styleId="Ratkaisematonmaininta">
    <w:name w:val="Unresolved Mention"/>
    <w:uiPriority w:val="99"/>
    <w:semiHidden/>
    <w:unhideWhenUsed/>
    <w:rsid w:val="00813698"/>
    <w:rPr>
      <w:color w:val="605E5C"/>
      <w:shd w:val="clear" w:color="auto" w:fill="E1DFDD"/>
    </w:rPr>
  </w:style>
  <w:style w:type="paragraph" w:styleId="Sisluet3">
    <w:name w:val="toc 3"/>
    <w:basedOn w:val="Normaali"/>
    <w:next w:val="Normaali"/>
    <w:autoRedefine/>
    <w:uiPriority w:val="39"/>
    <w:rsid w:val="00EF7CE9"/>
    <w:pPr>
      <w:spacing w:after="100"/>
      <w:ind w:left="400"/>
    </w:pPr>
  </w:style>
  <w:style w:type="paragraph" w:styleId="Sisluet4">
    <w:name w:val="toc 4"/>
    <w:basedOn w:val="Normaali"/>
    <w:next w:val="Normaali"/>
    <w:autoRedefine/>
    <w:uiPriority w:val="39"/>
    <w:unhideWhenUsed/>
    <w:rsid w:val="00EF7CE9"/>
    <w:pPr>
      <w:spacing w:after="100" w:line="259" w:lineRule="auto"/>
      <w:ind w:left="660"/>
    </w:pPr>
    <w:rPr>
      <w:rFonts w:asciiTheme="minorHAnsi" w:eastAsiaTheme="minorEastAsia" w:hAnsiTheme="minorHAnsi" w:cstheme="minorBidi"/>
      <w:sz w:val="22"/>
      <w:szCs w:val="22"/>
    </w:rPr>
  </w:style>
  <w:style w:type="paragraph" w:styleId="Sisluet5">
    <w:name w:val="toc 5"/>
    <w:basedOn w:val="Normaali"/>
    <w:next w:val="Normaali"/>
    <w:autoRedefine/>
    <w:uiPriority w:val="39"/>
    <w:unhideWhenUsed/>
    <w:rsid w:val="00EF7CE9"/>
    <w:pPr>
      <w:spacing w:after="100" w:line="259" w:lineRule="auto"/>
      <w:ind w:left="880"/>
    </w:pPr>
    <w:rPr>
      <w:rFonts w:asciiTheme="minorHAnsi" w:eastAsiaTheme="minorEastAsia" w:hAnsiTheme="minorHAnsi" w:cstheme="minorBidi"/>
      <w:sz w:val="22"/>
      <w:szCs w:val="22"/>
    </w:rPr>
  </w:style>
  <w:style w:type="paragraph" w:styleId="Sisluet6">
    <w:name w:val="toc 6"/>
    <w:basedOn w:val="Normaali"/>
    <w:next w:val="Normaali"/>
    <w:autoRedefine/>
    <w:uiPriority w:val="39"/>
    <w:unhideWhenUsed/>
    <w:rsid w:val="00EF7CE9"/>
    <w:pPr>
      <w:spacing w:after="100" w:line="259" w:lineRule="auto"/>
      <w:ind w:left="1100"/>
    </w:pPr>
    <w:rPr>
      <w:rFonts w:asciiTheme="minorHAnsi" w:eastAsiaTheme="minorEastAsia" w:hAnsiTheme="minorHAnsi" w:cstheme="minorBidi"/>
      <w:sz w:val="22"/>
      <w:szCs w:val="22"/>
    </w:rPr>
  </w:style>
  <w:style w:type="paragraph" w:styleId="Sisluet7">
    <w:name w:val="toc 7"/>
    <w:basedOn w:val="Normaali"/>
    <w:next w:val="Normaali"/>
    <w:autoRedefine/>
    <w:uiPriority w:val="39"/>
    <w:unhideWhenUsed/>
    <w:rsid w:val="00EF7CE9"/>
    <w:pPr>
      <w:spacing w:after="100" w:line="259" w:lineRule="auto"/>
      <w:ind w:left="1320"/>
    </w:pPr>
    <w:rPr>
      <w:rFonts w:asciiTheme="minorHAnsi" w:eastAsiaTheme="minorEastAsia" w:hAnsiTheme="minorHAnsi" w:cstheme="minorBidi"/>
      <w:sz w:val="22"/>
      <w:szCs w:val="22"/>
    </w:rPr>
  </w:style>
  <w:style w:type="paragraph" w:styleId="Sisluet8">
    <w:name w:val="toc 8"/>
    <w:basedOn w:val="Normaali"/>
    <w:next w:val="Normaali"/>
    <w:autoRedefine/>
    <w:uiPriority w:val="39"/>
    <w:unhideWhenUsed/>
    <w:rsid w:val="00EF7CE9"/>
    <w:pPr>
      <w:spacing w:after="100" w:line="259" w:lineRule="auto"/>
      <w:ind w:left="1540"/>
    </w:pPr>
    <w:rPr>
      <w:rFonts w:asciiTheme="minorHAnsi" w:eastAsiaTheme="minorEastAsia" w:hAnsiTheme="minorHAnsi" w:cstheme="minorBidi"/>
      <w:sz w:val="22"/>
      <w:szCs w:val="22"/>
    </w:rPr>
  </w:style>
  <w:style w:type="paragraph" w:styleId="Sisluet9">
    <w:name w:val="toc 9"/>
    <w:basedOn w:val="Normaali"/>
    <w:next w:val="Normaali"/>
    <w:autoRedefine/>
    <w:uiPriority w:val="39"/>
    <w:unhideWhenUsed/>
    <w:rsid w:val="00EF7CE9"/>
    <w:pPr>
      <w:spacing w:after="100" w:line="259" w:lineRule="auto"/>
      <w:ind w:left="1760"/>
    </w:pPr>
    <w:rPr>
      <w:rFonts w:asciiTheme="minorHAnsi" w:eastAsiaTheme="minorEastAsia" w:hAnsiTheme="minorHAnsi" w:cstheme="minorBidi"/>
      <w:sz w:val="22"/>
      <w:szCs w:val="22"/>
    </w:rPr>
  </w:style>
  <w:style w:type="character" w:customStyle="1" w:styleId="YltunnisteChar">
    <w:name w:val="Ylätunniste Char"/>
    <w:basedOn w:val="Kappaleenoletusfontti"/>
    <w:link w:val="Yltunniste"/>
    <w:uiPriority w:val="99"/>
    <w:rsid w:val="00B63006"/>
    <w:rPr>
      <w:rFonts w:ascii="Verdana" w:hAnsi="Verdana"/>
      <w:sz w:val="16"/>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961479">
      <w:bodyDiv w:val="1"/>
      <w:marLeft w:val="0"/>
      <w:marRight w:val="0"/>
      <w:marTop w:val="0"/>
      <w:marBottom w:val="0"/>
      <w:divBdr>
        <w:top w:val="none" w:sz="0" w:space="0" w:color="auto"/>
        <w:left w:val="none" w:sz="0" w:space="0" w:color="auto"/>
        <w:bottom w:val="none" w:sz="0" w:space="0" w:color="auto"/>
        <w:right w:val="none" w:sz="0" w:space="0" w:color="auto"/>
      </w:divBdr>
    </w:div>
    <w:div w:id="195070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Naukksa\AppData\Local\Microsoft\Windows\INetCache\Content.Outlook\UD8F4173\www.kuluttajaneuvonta.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linkeinoelama.sharepoint.com/sites/ENEEXTKaasusopimukset/Shared%20Documents/General/Sopimusehtoversiot%2027082019/www.kuluttajariita.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06ACAE71764A9F4E80433FD688B39BE6" ma:contentTypeVersion="2" ma:contentTypeDescription="Luo uusi asiakirja." ma:contentTypeScope="" ma:versionID="1db75dcf71a588034703190b05e4f7f0">
  <xsd:schema xmlns:xsd="http://www.w3.org/2001/XMLSchema" xmlns:xs="http://www.w3.org/2001/XMLSchema" xmlns:p="http://schemas.microsoft.com/office/2006/metadata/properties" xmlns:ns2="72ec2494-3293-47b2-954b-61b2f11a9810" targetNamespace="http://schemas.microsoft.com/office/2006/metadata/properties" ma:root="true" ma:fieldsID="5e57f6c5ae427cc2b8df04f6331cd20f" ns2:_="">
    <xsd:import namespace="72ec2494-3293-47b2-954b-61b2f11a98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c2494-3293-47b2-954b-61b2f11a98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C973F-3BB1-46CD-A52F-CE3882B6C3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5EAF07-C89F-4D06-9903-9ADFE1A78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c2494-3293-47b2-954b-61b2f11a9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17809-3C7A-4A0C-8941-1B7929495D43}">
  <ds:schemaRefs>
    <ds:schemaRef ds:uri="http://schemas.microsoft.com/sharepoint/v3/contenttype/forms"/>
  </ds:schemaRefs>
</ds:datastoreItem>
</file>

<file path=customXml/itemProps4.xml><?xml version="1.0" encoding="utf-8"?>
<ds:datastoreItem xmlns:ds="http://schemas.openxmlformats.org/officeDocument/2006/customXml" ds:itemID="{30C66634-F840-4A53-AB96-F896120B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2903</Words>
  <Characters>20267</Characters>
  <Application>Microsoft Office Word</Application>
  <DocSecurity>0</DocSecurity>
  <Lines>168</Lines>
  <Paragraphs>46</Paragraphs>
  <ScaleCrop>false</ScaleCrop>
  <HeadingPairs>
    <vt:vector size="2" baseType="variant">
      <vt:variant>
        <vt:lpstr>Otsikko</vt:lpstr>
      </vt:variant>
      <vt:variant>
        <vt:i4>1</vt:i4>
      </vt:variant>
    </vt:vector>
  </HeadingPairs>
  <TitlesOfParts>
    <vt:vector size="1" baseType="lpstr">
      <vt:lpstr>kirjemallipohja</vt:lpstr>
    </vt:vector>
  </TitlesOfParts>
  <Company>Energiateollisuus</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kirjemallipohja</dc:title>
  <dc:subject/>
  <dc:creator>Lehtinen Suvi</dc:creator>
  <cp:keywords/>
  <dc:description/>
  <cp:lastModifiedBy>Siira Kimmo</cp:lastModifiedBy>
  <cp:revision>3</cp:revision>
  <cp:lastPrinted>2019-11-06T11:00:00Z</cp:lastPrinted>
  <dcterms:created xsi:type="dcterms:W3CDTF">2020-01-03T11:23:00Z</dcterms:created>
  <dcterms:modified xsi:type="dcterms:W3CDTF">2020-01-20T10:53:00Z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0x01010006ACAE71764A9F4E80433FD688B39BE6</vt:lpwstr>
  </property>
</Properties>
</file>